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698" w:rsidRDefault="002E5698"/>
    <w:p w:rsidR="002E5698" w:rsidRDefault="002E5698"/>
    <w:tbl>
      <w:tblPr>
        <w:tblW w:w="8851" w:type="dxa"/>
        <w:tblInd w:w="-142" w:type="dxa"/>
        <w:tblLayout w:type="fixed"/>
        <w:tblCellMar>
          <w:left w:w="0" w:type="dxa"/>
          <w:right w:w="0" w:type="dxa"/>
        </w:tblCellMar>
        <w:tblLook w:val="04A0"/>
      </w:tblPr>
      <w:tblGrid>
        <w:gridCol w:w="1037"/>
        <w:gridCol w:w="181"/>
        <w:gridCol w:w="1047"/>
        <w:gridCol w:w="169"/>
        <w:gridCol w:w="77"/>
        <w:gridCol w:w="967"/>
        <w:gridCol w:w="928"/>
        <w:gridCol w:w="68"/>
        <w:gridCol w:w="1132"/>
        <w:gridCol w:w="1009"/>
        <w:gridCol w:w="181"/>
        <w:gridCol w:w="1141"/>
        <w:gridCol w:w="914"/>
      </w:tblGrid>
      <w:tr w:rsidR="002E5698">
        <w:trPr>
          <w:trHeight w:val="535"/>
        </w:trPr>
        <w:tc>
          <w:tcPr>
            <w:tcW w:w="8851" w:type="dxa"/>
            <w:gridSpan w:val="13"/>
            <w:tcBorders>
              <w:top w:val="nil"/>
              <w:left w:val="nil"/>
              <w:bottom w:val="single" w:sz="4" w:space="0" w:color="auto"/>
              <w:right w:val="nil"/>
            </w:tcBorders>
            <w:shd w:val="clear" w:color="auto" w:fill="auto"/>
            <w:noWrap/>
            <w:tcMar>
              <w:top w:w="15" w:type="dxa"/>
              <w:left w:w="15" w:type="dxa"/>
              <w:bottom w:w="0" w:type="dxa"/>
              <w:right w:w="15" w:type="dxa"/>
            </w:tcMar>
          </w:tcPr>
          <w:p w:rsidR="002E5698" w:rsidRDefault="0066339B">
            <w:pPr>
              <w:jc w:val="center"/>
              <w:rPr>
                <w:rFonts w:ascii="Times New Roman" w:hAnsi="Times New Roman"/>
                <w:b/>
                <w:bCs/>
                <w:color w:val="000000"/>
                <w:sz w:val="40"/>
                <w:szCs w:val="40"/>
              </w:rPr>
            </w:pPr>
            <w:r>
              <w:rPr>
                <w:rFonts w:ascii="Times New Roman" w:hAnsi="Times New Roman"/>
                <w:b/>
                <w:bCs/>
                <w:color w:val="000000"/>
                <w:sz w:val="40"/>
                <w:szCs w:val="40"/>
              </w:rPr>
              <w:t>苏州市级财政支出项目绩效自评价报告</w:t>
            </w:r>
          </w:p>
        </w:tc>
      </w:tr>
      <w:tr w:rsidR="002E5698">
        <w:trPr>
          <w:trHeight w:val="472"/>
        </w:trPr>
        <w:tc>
          <w:tcPr>
            <w:tcW w:w="8851" w:type="dxa"/>
            <w:gridSpan w:val="1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2E5698" w:rsidRDefault="0066339B">
            <w:pPr>
              <w:jc w:val="center"/>
              <w:rPr>
                <w:rFonts w:ascii="Times New Roman" w:hAnsi="Times New Roman"/>
                <w:b/>
                <w:bCs/>
                <w:color w:val="000000"/>
                <w:sz w:val="36"/>
                <w:szCs w:val="36"/>
              </w:rPr>
            </w:pPr>
            <w:r>
              <w:rPr>
                <w:rFonts w:ascii="Times New Roman" w:hAnsi="Times New Roman"/>
                <w:b/>
                <w:bCs/>
                <w:color w:val="000000"/>
                <w:sz w:val="36"/>
                <w:szCs w:val="36"/>
              </w:rPr>
              <w:t>苏州市级财政支出项目绩效自评表</w:t>
            </w:r>
          </w:p>
        </w:tc>
      </w:tr>
      <w:tr w:rsidR="002E5698">
        <w:trPr>
          <w:trHeight w:val="628"/>
        </w:trPr>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color w:val="000000"/>
                <w:sz w:val="22"/>
              </w:rPr>
              <w:t>项目名称</w:t>
            </w:r>
          </w:p>
        </w:tc>
        <w:tc>
          <w:tcPr>
            <w:tcW w:w="3341" w:type="dxa"/>
            <w:gridSpan w:val="6"/>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sz w:val="22"/>
              </w:rPr>
              <w:t>档案整理费</w:t>
            </w:r>
          </w:p>
        </w:tc>
        <w:tc>
          <w:tcPr>
            <w:tcW w:w="119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color w:val="000000"/>
                <w:sz w:val="22"/>
              </w:rPr>
              <w:t>项目年份</w:t>
            </w:r>
          </w:p>
        </w:tc>
        <w:tc>
          <w:tcPr>
            <w:tcW w:w="2055"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sz w:val="22"/>
              </w:rPr>
              <w:t>202</w:t>
            </w:r>
            <w:r>
              <w:rPr>
                <w:rFonts w:ascii="Times New Roman" w:hAnsi="Times New Roman"/>
                <w:sz w:val="22"/>
              </w:rPr>
              <w:t>4</w:t>
            </w:r>
          </w:p>
        </w:tc>
      </w:tr>
      <w:tr w:rsidR="002E5698">
        <w:trPr>
          <w:trHeight w:val="580"/>
        </w:trPr>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color w:val="000000"/>
                <w:sz w:val="22"/>
              </w:rPr>
              <w:t>项目主管部门</w:t>
            </w:r>
            <w:r>
              <w:rPr>
                <w:rFonts w:ascii="Times New Roman" w:hAnsi="Times New Roman"/>
                <w:color w:val="000000"/>
                <w:sz w:val="22"/>
              </w:rPr>
              <w:t>(</w:t>
            </w:r>
            <w:r>
              <w:rPr>
                <w:rFonts w:ascii="Times New Roman" w:hAnsi="Times New Roman"/>
                <w:color w:val="000000"/>
                <w:sz w:val="22"/>
              </w:rPr>
              <w:t>单位</w:t>
            </w:r>
            <w:r>
              <w:rPr>
                <w:rFonts w:ascii="Times New Roman" w:hAnsi="Times New Roman"/>
                <w:color w:val="000000"/>
                <w:sz w:val="22"/>
              </w:rPr>
              <w:t>)</w:t>
            </w:r>
          </w:p>
        </w:tc>
        <w:tc>
          <w:tcPr>
            <w:tcW w:w="6586" w:type="dxa"/>
            <w:gridSpan w:val="10"/>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sz w:val="22"/>
              </w:rPr>
              <w:t>中国共产党苏州市委员会市级机关工作委员会</w:t>
            </w:r>
          </w:p>
        </w:tc>
      </w:tr>
      <w:tr w:rsidR="002E5698">
        <w:trPr>
          <w:trHeight w:val="535"/>
        </w:trPr>
        <w:tc>
          <w:tcPr>
            <w:tcW w:w="1037"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color w:val="000000"/>
                <w:sz w:val="22"/>
              </w:rPr>
              <w:t>市级预算执行情况（万元）</w:t>
            </w:r>
          </w:p>
        </w:tc>
        <w:tc>
          <w:tcPr>
            <w:tcW w:w="1228"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color w:val="000000"/>
                <w:sz w:val="22"/>
              </w:rPr>
              <w:t>年初预算数</w:t>
            </w:r>
          </w:p>
        </w:tc>
        <w:tc>
          <w:tcPr>
            <w:tcW w:w="2141" w:type="dxa"/>
            <w:gridSpan w:val="4"/>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color w:val="000000"/>
                <w:sz w:val="22"/>
              </w:rPr>
              <w:t>当年使用上年结余、</w:t>
            </w:r>
          </w:p>
          <w:p w:rsidR="002E5698" w:rsidRDefault="0066339B">
            <w:pPr>
              <w:jc w:val="center"/>
              <w:rPr>
                <w:rFonts w:ascii="Times New Roman" w:hAnsi="Times New Roman"/>
                <w:color w:val="000000"/>
                <w:sz w:val="22"/>
              </w:rPr>
            </w:pPr>
            <w:r>
              <w:rPr>
                <w:rFonts w:ascii="Times New Roman" w:hAnsi="Times New Roman"/>
                <w:color w:val="000000"/>
                <w:sz w:val="22"/>
              </w:rPr>
              <w:t>结转及当年预算</w:t>
            </w:r>
            <w:r>
              <w:rPr>
                <w:rFonts w:ascii="Times New Roman" w:hAnsi="Times New Roman"/>
                <w:color w:val="000000"/>
                <w:sz w:val="22"/>
              </w:rPr>
              <w:t>追加</w:t>
            </w:r>
            <w:bookmarkStart w:id="0" w:name="_GoBack"/>
            <w:bookmarkEnd w:id="0"/>
            <w:r>
              <w:rPr>
                <w:rFonts w:ascii="Times New Roman" w:hAnsi="Times New Roman"/>
                <w:color w:val="000000"/>
                <w:sz w:val="22"/>
              </w:rPr>
              <w:t>追减数</w:t>
            </w:r>
          </w:p>
        </w:tc>
        <w:tc>
          <w:tcPr>
            <w:tcW w:w="1200"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color w:val="000000"/>
                <w:sz w:val="22"/>
              </w:rPr>
              <w:t>财政拨款数</w:t>
            </w:r>
          </w:p>
        </w:tc>
        <w:tc>
          <w:tcPr>
            <w:tcW w:w="1190" w:type="dxa"/>
            <w:gridSpan w:val="2"/>
            <w:tcBorders>
              <w:top w:val="single" w:sz="4" w:space="0" w:color="000000"/>
              <w:left w:val="nil"/>
              <w:bottom w:val="single" w:sz="4" w:space="0" w:color="000000"/>
              <w:right w:val="single" w:sz="4" w:space="0" w:color="000000"/>
            </w:tcBorders>
            <w:shd w:val="clear" w:color="auto" w:fill="auto"/>
            <w:vAlign w:val="center"/>
          </w:tcPr>
          <w:p w:rsidR="002E5698" w:rsidRDefault="0066339B">
            <w:pPr>
              <w:jc w:val="center"/>
              <w:rPr>
                <w:rFonts w:ascii="Times New Roman" w:hAnsi="Times New Roman"/>
                <w:color w:val="000000"/>
                <w:sz w:val="22"/>
              </w:rPr>
            </w:pPr>
            <w:r>
              <w:rPr>
                <w:rFonts w:ascii="Times New Roman" w:hAnsi="Times New Roman"/>
                <w:color w:val="000000"/>
                <w:sz w:val="22"/>
              </w:rPr>
              <w:t>指标结余数</w:t>
            </w:r>
          </w:p>
        </w:tc>
        <w:tc>
          <w:tcPr>
            <w:tcW w:w="2055"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color w:val="000000"/>
                <w:sz w:val="22"/>
              </w:rPr>
              <w:t>指标结余收回数</w:t>
            </w:r>
          </w:p>
        </w:tc>
      </w:tr>
      <w:tr w:rsidR="002E5698">
        <w:trPr>
          <w:trHeight w:val="441"/>
        </w:trPr>
        <w:tc>
          <w:tcPr>
            <w:tcW w:w="1037" w:type="dxa"/>
            <w:vMerge/>
            <w:tcBorders>
              <w:top w:val="nil"/>
              <w:left w:val="single" w:sz="4" w:space="0" w:color="000000"/>
              <w:bottom w:val="single" w:sz="4" w:space="0" w:color="000000"/>
              <w:right w:val="single" w:sz="4" w:space="0" w:color="000000"/>
            </w:tcBorders>
            <w:vAlign w:val="center"/>
          </w:tcPr>
          <w:p w:rsidR="002E5698" w:rsidRDefault="002E5698">
            <w:pPr>
              <w:rPr>
                <w:rFonts w:ascii="Times New Roman" w:hAnsi="Times New Roman"/>
                <w:color w:val="000000"/>
                <w:sz w:val="22"/>
              </w:rPr>
            </w:pPr>
          </w:p>
        </w:tc>
        <w:tc>
          <w:tcPr>
            <w:tcW w:w="1228"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sz w:val="22"/>
              </w:rPr>
              <w:t>3</w:t>
            </w:r>
          </w:p>
        </w:tc>
        <w:tc>
          <w:tcPr>
            <w:tcW w:w="2141" w:type="dxa"/>
            <w:gridSpan w:val="4"/>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sz w:val="22"/>
              </w:rPr>
              <w:t>0</w:t>
            </w:r>
          </w:p>
        </w:tc>
        <w:tc>
          <w:tcPr>
            <w:tcW w:w="1200"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sz w:val="22"/>
              </w:rPr>
              <w:t>3</w:t>
            </w:r>
          </w:p>
        </w:tc>
        <w:tc>
          <w:tcPr>
            <w:tcW w:w="1190" w:type="dxa"/>
            <w:gridSpan w:val="2"/>
            <w:tcBorders>
              <w:top w:val="single" w:sz="4" w:space="0" w:color="000000"/>
              <w:left w:val="nil"/>
              <w:bottom w:val="single" w:sz="4" w:space="0" w:color="000000"/>
              <w:right w:val="single" w:sz="4" w:space="0" w:color="000000"/>
            </w:tcBorders>
            <w:shd w:val="clear" w:color="auto" w:fill="auto"/>
            <w:vAlign w:val="center"/>
          </w:tcPr>
          <w:p w:rsidR="002E5698" w:rsidRDefault="0066339B">
            <w:pPr>
              <w:jc w:val="center"/>
              <w:rPr>
                <w:rFonts w:ascii="Times New Roman" w:hAnsi="Times New Roman"/>
                <w:color w:val="000000"/>
                <w:sz w:val="22"/>
              </w:rPr>
            </w:pPr>
            <w:r>
              <w:rPr>
                <w:rFonts w:ascii="Times New Roman" w:hAnsi="Times New Roman"/>
                <w:sz w:val="22"/>
              </w:rPr>
              <w:t>0</w:t>
            </w:r>
          </w:p>
        </w:tc>
        <w:tc>
          <w:tcPr>
            <w:tcW w:w="2055"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sz w:val="22"/>
              </w:rPr>
              <w:t>0.01</w:t>
            </w:r>
          </w:p>
        </w:tc>
      </w:tr>
      <w:tr w:rsidR="002E5698">
        <w:trPr>
          <w:trHeight w:val="346"/>
        </w:trPr>
        <w:tc>
          <w:tcPr>
            <w:tcW w:w="1037"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color w:val="000000"/>
                <w:sz w:val="22"/>
              </w:rPr>
              <w:t>市级财政资金使用情况</w:t>
            </w:r>
          </w:p>
          <w:p w:rsidR="002E5698" w:rsidRDefault="0066339B">
            <w:pPr>
              <w:jc w:val="center"/>
              <w:rPr>
                <w:rFonts w:ascii="Times New Roman" w:hAnsi="Times New Roman"/>
                <w:color w:val="000000"/>
                <w:sz w:val="22"/>
              </w:rPr>
            </w:pPr>
            <w:r>
              <w:rPr>
                <w:rFonts w:ascii="Times New Roman" w:hAnsi="Times New Roman"/>
                <w:color w:val="000000"/>
                <w:sz w:val="22"/>
              </w:rPr>
              <w:t>（万元）</w:t>
            </w:r>
          </w:p>
        </w:tc>
        <w:tc>
          <w:tcPr>
            <w:tcW w:w="1228"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color w:val="000000"/>
                <w:sz w:val="22"/>
              </w:rPr>
              <w:t>财政拨款数</w:t>
            </w:r>
          </w:p>
        </w:tc>
        <w:tc>
          <w:tcPr>
            <w:tcW w:w="1213"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color w:val="000000"/>
                <w:sz w:val="22"/>
              </w:rPr>
              <w:t>实际支付数</w:t>
            </w:r>
          </w:p>
        </w:tc>
        <w:tc>
          <w:tcPr>
            <w:tcW w:w="21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color w:val="000000"/>
                <w:sz w:val="22"/>
              </w:rPr>
              <w:t>资金结余、结转数</w:t>
            </w:r>
          </w:p>
        </w:tc>
        <w:tc>
          <w:tcPr>
            <w:tcW w:w="3245" w:type="dxa"/>
            <w:gridSpan w:val="4"/>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color w:val="000000"/>
                <w:sz w:val="22"/>
              </w:rPr>
              <w:t>其中：</w:t>
            </w:r>
          </w:p>
        </w:tc>
      </w:tr>
      <w:tr w:rsidR="002E5698">
        <w:trPr>
          <w:trHeight w:val="378"/>
        </w:trPr>
        <w:tc>
          <w:tcPr>
            <w:tcW w:w="1037" w:type="dxa"/>
            <w:vMerge/>
            <w:tcBorders>
              <w:top w:val="nil"/>
              <w:left w:val="single" w:sz="4" w:space="0" w:color="000000"/>
              <w:bottom w:val="single" w:sz="4" w:space="0" w:color="000000"/>
              <w:right w:val="single" w:sz="4" w:space="0" w:color="000000"/>
            </w:tcBorders>
            <w:vAlign w:val="center"/>
          </w:tcPr>
          <w:p w:rsidR="002E5698" w:rsidRDefault="002E5698">
            <w:pPr>
              <w:rPr>
                <w:rFonts w:ascii="Times New Roman" w:hAnsi="Times New Roman"/>
                <w:color w:val="000000"/>
                <w:sz w:val="22"/>
              </w:rPr>
            </w:pPr>
          </w:p>
        </w:tc>
        <w:tc>
          <w:tcPr>
            <w:tcW w:w="1228" w:type="dxa"/>
            <w:gridSpan w:val="2"/>
            <w:vMerge/>
            <w:tcBorders>
              <w:top w:val="nil"/>
              <w:left w:val="single" w:sz="4" w:space="0" w:color="000000"/>
              <w:bottom w:val="single" w:sz="4" w:space="0" w:color="000000"/>
              <w:right w:val="single" w:sz="4" w:space="0" w:color="000000"/>
            </w:tcBorders>
            <w:vAlign w:val="center"/>
          </w:tcPr>
          <w:p w:rsidR="002E5698" w:rsidRDefault="002E5698">
            <w:pPr>
              <w:rPr>
                <w:rFonts w:ascii="Times New Roman" w:hAnsi="Times New Roman"/>
                <w:color w:val="000000"/>
                <w:sz w:val="22"/>
              </w:rPr>
            </w:pPr>
          </w:p>
        </w:tc>
        <w:tc>
          <w:tcPr>
            <w:tcW w:w="1213" w:type="dxa"/>
            <w:gridSpan w:val="3"/>
            <w:vMerge/>
            <w:tcBorders>
              <w:top w:val="nil"/>
              <w:left w:val="single" w:sz="4" w:space="0" w:color="000000"/>
              <w:bottom w:val="single" w:sz="4" w:space="0" w:color="000000"/>
              <w:right w:val="single" w:sz="4" w:space="0" w:color="000000"/>
            </w:tcBorders>
            <w:vAlign w:val="center"/>
          </w:tcPr>
          <w:p w:rsidR="002E5698" w:rsidRDefault="002E5698">
            <w:pPr>
              <w:rPr>
                <w:rFonts w:ascii="Times New Roman" w:hAnsi="Times New Roman"/>
                <w:color w:val="000000"/>
                <w:sz w:val="22"/>
              </w:rPr>
            </w:pPr>
          </w:p>
        </w:tc>
        <w:tc>
          <w:tcPr>
            <w:tcW w:w="2128" w:type="dxa"/>
            <w:gridSpan w:val="3"/>
            <w:vMerge/>
            <w:tcBorders>
              <w:top w:val="single" w:sz="4" w:space="0" w:color="000000"/>
              <w:left w:val="single" w:sz="4" w:space="0" w:color="000000"/>
              <w:bottom w:val="single" w:sz="4" w:space="0" w:color="000000"/>
              <w:right w:val="single" w:sz="4" w:space="0" w:color="000000"/>
            </w:tcBorders>
            <w:vAlign w:val="center"/>
          </w:tcPr>
          <w:p w:rsidR="002E5698" w:rsidRDefault="002E5698">
            <w:pPr>
              <w:rPr>
                <w:rFonts w:ascii="Times New Roman" w:hAnsi="Times New Roman"/>
                <w:color w:val="000000"/>
                <w:sz w:val="22"/>
              </w:rPr>
            </w:pPr>
          </w:p>
        </w:tc>
        <w:tc>
          <w:tcPr>
            <w:tcW w:w="119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color w:val="000000"/>
                <w:sz w:val="22"/>
              </w:rPr>
              <w:t>结转数</w:t>
            </w:r>
          </w:p>
        </w:tc>
        <w:tc>
          <w:tcPr>
            <w:tcW w:w="2055"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color w:val="000000"/>
                <w:sz w:val="22"/>
              </w:rPr>
              <w:t>财政收回数</w:t>
            </w:r>
          </w:p>
        </w:tc>
      </w:tr>
      <w:tr w:rsidR="002E5698">
        <w:trPr>
          <w:trHeight w:val="630"/>
        </w:trPr>
        <w:tc>
          <w:tcPr>
            <w:tcW w:w="1037" w:type="dxa"/>
            <w:vMerge/>
            <w:tcBorders>
              <w:top w:val="nil"/>
              <w:left w:val="single" w:sz="4" w:space="0" w:color="000000"/>
              <w:bottom w:val="single" w:sz="4" w:space="0" w:color="000000"/>
              <w:right w:val="single" w:sz="4" w:space="0" w:color="000000"/>
            </w:tcBorders>
            <w:vAlign w:val="center"/>
          </w:tcPr>
          <w:p w:rsidR="002E5698" w:rsidRDefault="002E5698">
            <w:pPr>
              <w:rPr>
                <w:rFonts w:ascii="Times New Roman" w:hAnsi="Times New Roman"/>
                <w:color w:val="000000"/>
                <w:sz w:val="22"/>
              </w:rPr>
            </w:pPr>
          </w:p>
        </w:tc>
        <w:tc>
          <w:tcPr>
            <w:tcW w:w="1228"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sz w:val="22"/>
              </w:rPr>
              <w:t>3</w:t>
            </w:r>
          </w:p>
        </w:tc>
        <w:tc>
          <w:tcPr>
            <w:tcW w:w="1213" w:type="dxa"/>
            <w:gridSpan w:val="3"/>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sz w:val="22"/>
              </w:rPr>
              <w:t>2.99</w:t>
            </w:r>
          </w:p>
        </w:tc>
        <w:tc>
          <w:tcPr>
            <w:tcW w:w="2128"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hint="eastAsia"/>
                <w:sz w:val="22"/>
              </w:rPr>
              <w:t>0</w:t>
            </w:r>
            <w:r>
              <w:rPr>
                <w:rFonts w:ascii="Times New Roman" w:hAnsi="Times New Roman"/>
                <w:sz w:val="22"/>
              </w:rPr>
              <w:t>.01</w:t>
            </w:r>
          </w:p>
        </w:tc>
        <w:tc>
          <w:tcPr>
            <w:tcW w:w="119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sz w:val="22"/>
              </w:rPr>
              <w:t>0</w:t>
            </w:r>
          </w:p>
        </w:tc>
        <w:tc>
          <w:tcPr>
            <w:tcW w:w="2055"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center"/>
              <w:rPr>
                <w:rFonts w:ascii="Times New Roman" w:hAnsi="Times New Roman"/>
                <w:color w:val="000000"/>
                <w:sz w:val="22"/>
              </w:rPr>
            </w:pPr>
            <w:r>
              <w:rPr>
                <w:rFonts w:ascii="Times New Roman" w:hAnsi="Times New Roman"/>
                <w:sz w:val="22"/>
              </w:rPr>
              <w:t>0.01</w:t>
            </w:r>
          </w:p>
        </w:tc>
      </w:tr>
      <w:tr w:rsidR="002E5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7"/>
        </w:trPr>
        <w:tc>
          <w:tcPr>
            <w:tcW w:w="8851" w:type="dxa"/>
            <w:gridSpan w:val="13"/>
            <w:tcBorders>
              <w:top w:val="single" w:sz="4" w:space="0" w:color="auto"/>
              <w:left w:val="single" w:sz="4" w:space="0" w:color="auto"/>
              <w:bottom w:val="single" w:sz="4" w:space="0" w:color="auto"/>
              <w:right w:val="single" w:sz="4" w:space="0" w:color="auto"/>
            </w:tcBorders>
            <w:shd w:val="clear" w:color="auto" w:fill="BFBFBF"/>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项目资金构成（详细列出各子项目名称和金额）</w:t>
            </w:r>
          </w:p>
        </w:tc>
      </w:tr>
      <w:tr w:rsidR="002E5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7"/>
        </w:trPr>
        <w:tc>
          <w:tcPr>
            <w:tcW w:w="2511"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sz w:val="20"/>
              </w:rPr>
              <w:t>子项名称</w:t>
            </w:r>
          </w:p>
        </w:tc>
        <w:tc>
          <w:tcPr>
            <w:tcW w:w="3095"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调整</w:t>
            </w:r>
            <w:r>
              <w:rPr>
                <w:rFonts w:ascii="Times New Roman" w:hAnsi="Times New Roman"/>
                <w:color w:val="000000"/>
                <w:kern w:val="0"/>
                <w:sz w:val="20"/>
                <w:szCs w:val="20"/>
              </w:rPr>
              <w:t>预算数（万元）</w:t>
            </w:r>
          </w:p>
        </w:tc>
        <w:tc>
          <w:tcPr>
            <w:tcW w:w="3245"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实际</w:t>
            </w:r>
            <w:r>
              <w:rPr>
                <w:rFonts w:ascii="Times New Roman" w:hAnsi="Times New Roman"/>
                <w:color w:val="000000"/>
                <w:kern w:val="0"/>
                <w:sz w:val="20"/>
                <w:szCs w:val="20"/>
              </w:rPr>
              <w:t>支出</w:t>
            </w:r>
            <w:r>
              <w:rPr>
                <w:rFonts w:ascii="Times New Roman" w:hAnsi="Times New Roman"/>
                <w:color w:val="000000"/>
                <w:kern w:val="0"/>
                <w:sz w:val="20"/>
                <w:szCs w:val="20"/>
              </w:rPr>
              <w:t>数（万元）</w:t>
            </w:r>
          </w:p>
        </w:tc>
      </w:tr>
      <w:tr w:rsidR="002E5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2511" w:type="dxa"/>
            <w:gridSpan w:val="5"/>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合计</w:t>
            </w:r>
          </w:p>
        </w:tc>
        <w:tc>
          <w:tcPr>
            <w:tcW w:w="3095" w:type="dxa"/>
            <w:gridSpan w:val="4"/>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3245" w:type="dxa"/>
            <w:gridSpan w:val="4"/>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2.99</w:t>
            </w:r>
          </w:p>
        </w:tc>
      </w:tr>
      <w:tr w:rsidR="002E5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2511" w:type="dxa"/>
            <w:gridSpan w:val="5"/>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档案整理费</w:t>
            </w:r>
          </w:p>
        </w:tc>
        <w:tc>
          <w:tcPr>
            <w:tcW w:w="3095" w:type="dxa"/>
            <w:gridSpan w:val="4"/>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3245" w:type="dxa"/>
            <w:gridSpan w:val="4"/>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2.99</w:t>
            </w:r>
          </w:p>
        </w:tc>
      </w:tr>
      <w:tr w:rsidR="002E5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7"/>
        </w:trPr>
        <w:tc>
          <w:tcPr>
            <w:tcW w:w="12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sz w:val="20"/>
              </w:rPr>
              <w:t>项目</w:t>
            </w:r>
          </w:p>
        </w:tc>
        <w:tc>
          <w:tcPr>
            <w:tcW w:w="121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类别</w:t>
            </w:r>
          </w:p>
        </w:tc>
        <w:tc>
          <w:tcPr>
            <w:tcW w:w="2040"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指标名称</w:t>
            </w:r>
          </w:p>
        </w:tc>
        <w:tc>
          <w:tcPr>
            <w:tcW w:w="1132" w:type="dxa"/>
            <w:tcBorders>
              <w:top w:val="single" w:sz="4" w:space="0" w:color="auto"/>
              <w:left w:val="single" w:sz="4" w:space="0" w:color="auto"/>
              <w:bottom w:val="single" w:sz="4" w:space="0" w:color="auto"/>
              <w:right w:val="single" w:sz="4" w:space="0" w:color="auto"/>
            </w:tcBorders>
            <w:shd w:val="clear" w:color="auto" w:fill="BFBFBF"/>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目标值</w:t>
            </w:r>
          </w:p>
        </w:tc>
        <w:tc>
          <w:tcPr>
            <w:tcW w:w="1009" w:type="dxa"/>
            <w:tcBorders>
              <w:top w:val="single" w:sz="4" w:space="0" w:color="auto"/>
              <w:left w:val="single" w:sz="4" w:space="0" w:color="auto"/>
              <w:bottom w:val="single" w:sz="4" w:space="0" w:color="auto"/>
              <w:right w:val="single" w:sz="4" w:space="0" w:color="auto"/>
            </w:tcBorders>
            <w:shd w:val="clear" w:color="auto" w:fill="BFBFBF"/>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权重</w:t>
            </w:r>
          </w:p>
        </w:tc>
        <w:tc>
          <w:tcPr>
            <w:tcW w:w="1322"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实际完成值</w:t>
            </w:r>
          </w:p>
        </w:tc>
        <w:tc>
          <w:tcPr>
            <w:tcW w:w="914" w:type="dxa"/>
            <w:tcBorders>
              <w:top w:val="single" w:sz="4" w:space="0" w:color="auto"/>
              <w:left w:val="single" w:sz="4" w:space="0" w:color="auto"/>
              <w:bottom w:val="single" w:sz="4" w:space="0" w:color="auto"/>
              <w:right w:val="single" w:sz="4" w:space="0" w:color="auto"/>
            </w:tcBorders>
            <w:shd w:val="clear" w:color="auto" w:fill="BFBFBF"/>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自评分</w:t>
            </w:r>
          </w:p>
        </w:tc>
      </w:tr>
      <w:tr w:rsidR="002E5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val="restart"/>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项目绩效</w:t>
            </w:r>
          </w:p>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实现情况</w:t>
            </w:r>
          </w:p>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w:t>
            </w:r>
            <w:r>
              <w:rPr>
                <w:rFonts w:ascii="Times New Roman" w:hAnsi="Times New Roman"/>
                <w:color w:val="000000"/>
                <w:kern w:val="0"/>
                <w:sz w:val="20"/>
                <w:szCs w:val="20"/>
              </w:rPr>
              <w:t>80</w:t>
            </w:r>
            <w:r>
              <w:rPr>
                <w:rFonts w:ascii="Times New Roman" w:hAnsi="Times New Roman"/>
                <w:color w:val="000000"/>
                <w:kern w:val="0"/>
                <w:sz w:val="20"/>
                <w:szCs w:val="20"/>
              </w:rPr>
              <w:t>分）</w:t>
            </w:r>
          </w:p>
        </w:tc>
        <w:tc>
          <w:tcPr>
            <w:tcW w:w="1216" w:type="dxa"/>
            <w:gridSpan w:val="2"/>
            <w:vMerge w:val="restart"/>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left"/>
              <w:rPr>
                <w:rFonts w:ascii="Times New Roman" w:hAnsi="Times New Roman"/>
                <w:color w:val="000000"/>
                <w:kern w:val="0"/>
                <w:sz w:val="20"/>
                <w:szCs w:val="20"/>
              </w:rPr>
            </w:pPr>
            <w:r>
              <w:rPr>
                <w:rFonts w:ascii="Times New Roman" w:hAnsi="Times New Roman"/>
                <w:color w:val="000000"/>
                <w:kern w:val="0"/>
                <w:sz w:val="20"/>
                <w:szCs w:val="20"/>
              </w:rPr>
              <w:t>决策目标</w:t>
            </w: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left"/>
              <w:rPr>
                <w:rFonts w:ascii="Times New Roman" w:hAnsi="Times New Roman"/>
                <w:color w:val="000000"/>
                <w:kern w:val="0"/>
                <w:sz w:val="20"/>
                <w:szCs w:val="20"/>
              </w:rPr>
            </w:pPr>
            <w:r>
              <w:rPr>
                <w:rFonts w:ascii="Times New Roman" w:hAnsi="Times New Roman"/>
                <w:color w:val="000000"/>
                <w:kern w:val="0"/>
                <w:sz w:val="20"/>
                <w:szCs w:val="20"/>
              </w:rPr>
              <w:t>立项程序规范性</w:t>
            </w:r>
          </w:p>
        </w:tc>
        <w:tc>
          <w:tcPr>
            <w:tcW w:w="1132"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规范</w:t>
            </w:r>
          </w:p>
        </w:tc>
        <w:tc>
          <w:tcPr>
            <w:tcW w:w="1009"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14"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2E5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left"/>
              <w:rPr>
                <w:rFonts w:ascii="Times New Roman" w:hAnsi="Times New Roman"/>
                <w:color w:val="000000"/>
                <w:kern w:val="0"/>
                <w:sz w:val="20"/>
                <w:szCs w:val="20"/>
              </w:rPr>
            </w:pPr>
            <w:r>
              <w:rPr>
                <w:rFonts w:ascii="Times New Roman" w:hAnsi="Times New Roman"/>
                <w:color w:val="000000"/>
                <w:kern w:val="0"/>
                <w:sz w:val="20"/>
                <w:szCs w:val="20"/>
              </w:rPr>
              <w:t>立项依据充分性</w:t>
            </w:r>
          </w:p>
        </w:tc>
        <w:tc>
          <w:tcPr>
            <w:tcW w:w="1132"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充分</w:t>
            </w:r>
          </w:p>
        </w:tc>
        <w:tc>
          <w:tcPr>
            <w:tcW w:w="1009"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14"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2E5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left"/>
              <w:rPr>
                <w:rFonts w:ascii="Times New Roman" w:hAnsi="Times New Roman"/>
                <w:color w:val="000000"/>
                <w:kern w:val="0"/>
                <w:sz w:val="20"/>
                <w:szCs w:val="20"/>
              </w:rPr>
            </w:pPr>
            <w:r>
              <w:rPr>
                <w:rFonts w:ascii="Times New Roman" w:hAnsi="Times New Roman"/>
                <w:color w:val="000000"/>
                <w:kern w:val="0"/>
                <w:sz w:val="20"/>
                <w:szCs w:val="20"/>
              </w:rPr>
              <w:t>绩效目标合理性</w:t>
            </w:r>
          </w:p>
        </w:tc>
        <w:tc>
          <w:tcPr>
            <w:tcW w:w="1132"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合理</w:t>
            </w:r>
          </w:p>
        </w:tc>
        <w:tc>
          <w:tcPr>
            <w:tcW w:w="1009"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14"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2E5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left"/>
              <w:rPr>
                <w:rFonts w:ascii="Times New Roman" w:hAnsi="Times New Roman"/>
                <w:color w:val="000000"/>
                <w:kern w:val="0"/>
                <w:sz w:val="20"/>
                <w:szCs w:val="20"/>
              </w:rPr>
            </w:pPr>
            <w:r>
              <w:rPr>
                <w:rFonts w:ascii="Times New Roman" w:hAnsi="Times New Roman"/>
                <w:color w:val="000000"/>
                <w:kern w:val="0"/>
                <w:sz w:val="20"/>
                <w:szCs w:val="20"/>
              </w:rPr>
              <w:t>绩效指标明确性</w:t>
            </w:r>
          </w:p>
        </w:tc>
        <w:tc>
          <w:tcPr>
            <w:tcW w:w="1132"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明确</w:t>
            </w:r>
          </w:p>
        </w:tc>
        <w:tc>
          <w:tcPr>
            <w:tcW w:w="1009"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14"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2E5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left"/>
              <w:rPr>
                <w:rFonts w:ascii="Times New Roman" w:hAnsi="Times New Roman"/>
                <w:color w:val="000000"/>
                <w:kern w:val="0"/>
                <w:sz w:val="20"/>
                <w:szCs w:val="20"/>
              </w:rPr>
            </w:pPr>
            <w:r>
              <w:rPr>
                <w:rFonts w:ascii="Times New Roman" w:hAnsi="Times New Roman"/>
                <w:color w:val="000000"/>
                <w:kern w:val="0"/>
                <w:sz w:val="20"/>
                <w:szCs w:val="20"/>
              </w:rPr>
              <w:t>预算编制科学性</w:t>
            </w:r>
          </w:p>
        </w:tc>
        <w:tc>
          <w:tcPr>
            <w:tcW w:w="1132"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科学</w:t>
            </w:r>
          </w:p>
        </w:tc>
        <w:tc>
          <w:tcPr>
            <w:tcW w:w="1009"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14"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2E5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left"/>
              <w:rPr>
                <w:rFonts w:ascii="Times New Roman" w:hAnsi="Times New Roman"/>
                <w:color w:val="000000"/>
                <w:kern w:val="0"/>
                <w:sz w:val="20"/>
                <w:szCs w:val="20"/>
              </w:rPr>
            </w:pPr>
            <w:r>
              <w:rPr>
                <w:rFonts w:ascii="Times New Roman" w:hAnsi="Times New Roman"/>
                <w:color w:val="000000"/>
                <w:kern w:val="0"/>
                <w:sz w:val="20"/>
                <w:szCs w:val="20"/>
              </w:rPr>
              <w:t>资金分配合理性</w:t>
            </w:r>
          </w:p>
        </w:tc>
        <w:tc>
          <w:tcPr>
            <w:tcW w:w="1132"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合理</w:t>
            </w:r>
          </w:p>
        </w:tc>
        <w:tc>
          <w:tcPr>
            <w:tcW w:w="1009"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14"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r>
      <w:tr w:rsidR="002E5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1216" w:type="dxa"/>
            <w:gridSpan w:val="2"/>
            <w:vMerge w:val="restart"/>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left"/>
              <w:rPr>
                <w:rFonts w:ascii="Times New Roman" w:hAnsi="Times New Roman"/>
                <w:color w:val="000000"/>
                <w:kern w:val="0"/>
                <w:sz w:val="20"/>
                <w:szCs w:val="20"/>
              </w:rPr>
            </w:pPr>
            <w:r>
              <w:rPr>
                <w:rFonts w:ascii="Times New Roman" w:hAnsi="Times New Roman"/>
                <w:color w:val="000000"/>
                <w:kern w:val="0"/>
                <w:sz w:val="20"/>
                <w:szCs w:val="20"/>
              </w:rPr>
              <w:t>过程目标</w:t>
            </w: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left"/>
              <w:rPr>
                <w:rFonts w:ascii="Times New Roman" w:hAnsi="Times New Roman"/>
                <w:color w:val="000000"/>
                <w:kern w:val="0"/>
                <w:sz w:val="20"/>
                <w:szCs w:val="20"/>
              </w:rPr>
            </w:pPr>
            <w:r>
              <w:rPr>
                <w:rFonts w:ascii="Times New Roman" w:hAnsi="Times New Roman"/>
                <w:color w:val="000000"/>
                <w:kern w:val="0"/>
                <w:sz w:val="20"/>
                <w:szCs w:val="20"/>
              </w:rPr>
              <w:t>预算执行率</w:t>
            </w:r>
          </w:p>
        </w:tc>
        <w:tc>
          <w:tcPr>
            <w:tcW w:w="1132"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1009"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8</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99.67%</w:t>
            </w:r>
          </w:p>
        </w:tc>
        <w:tc>
          <w:tcPr>
            <w:tcW w:w="914"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7.87</w:t>
            </w:r>
          </w:p>
        </w:tc>
      </w:tr>
      <w:tr w:rsidR="002E5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left"/>
              <w:rPr>
                <w:rFonts w:ascii="Times New Roman" w:hAnsi="Times New Roman"/>
                <w:color w:val="000000"/>
                <w:kern w:val="0"/>
                <w:sz w:val="20"/>
                <w:szCs w:val="20"/>
              </w:rPr>
            </w:pPr>
            <w:r>
              <w:rPr>
                <w:rFonts w:ascii="Times New Roman" w:hAnsi="Times New Roman"/>
                <w:color w:val="000000"/>
                <w:kern w:val="0"/>
                <w:sz w:val="20"/>
                <w:szCs w:val="20"/>
              </w:rPr>
              <w:t>资金到位率</w:t>
            </w:r>
          </w:p>
        </w:tc>
        <w:tc>
          <w:tcPr>
            <w:tcW w:w="1132"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1009"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14"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2E5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left"/>
              <w:rPr>
                <w:rFonts w:ascii="Times New Roman" w:hAnsi="Times New Roman"/>
                <w:color w:val="000000"/>
                <w:kern w:val="0"/>
                <w:sz w:val="20"/>
                <w:szCs w:val="20"/>
              </w:rPr>
            </w:pPr>
            <w:r>
              <w:rPr>
                <w:rFonts w:ascii="Times New Roman" w:hAnsi="Times New Roman"/>
                <w:color w:val="000000"/>
                <w:kern w:val="0"/>
                <w:sz w:val="20"/>
                <w:szCs w:val="20"/>
              </w:rPr>
              <w:t>资金使用合</w:t>
            </w:r>
            <w:proofErr w:type="gramStart"/>
            <w:r>
              <w:rPr>
                <w:rFonts w:ascii="Times New Roman" w:hAnsi="Times New Roman"/>
                <w:color w:val="000000"/>
                <w:kern w:val="0"/>
                <w:sz w:val="20"/>
                <w:szCs w:val="20"/>
              </w:rPr>
              <w:t>规</w:t>
            </w:r>
            <w:proofErr w:type="gramEnd"/>
            <w:r>
              <w:rPr>
                <w:rFonts w:ascii="Times New Roman" w:hAnsi="Times New Roman"/>
                <w:color w:val="000000"/>
                <w:kern w:val="0"/>
                <w:sz w:val="20"/>
                <w:szCs w:val="20"/>
              </w:rPr>
              <w:t>性</w:t>
            </w:r>
          </w:p>
        </w:tc>
        <w:tc>
          <w:tcPr>
            <w:tcW w:w="1132"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w:t>
            </w:r>
            <w:proofErr w:type="gramStart"/>
            <w:r>
              <w:rPr>
                <w:rFonts w:ascii="Times New Roman" w:hAnsi="Times New Roman"/>
                <w:color w:val="000000"/>
                <w:kern w:val="0"/>
                <w:sz w:val="20"/>
                <w:szCs w:val="20"/>
              </w:rPr>
              <w:t>规</w:t>
            </w:r>
            <w:proofErr w:type="gramEnd"/>
          </w:p>
        </w:tc>
        <w:tc>
          <w:tcPr>
            <w:tcW w:w="1009"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14"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r>
      <w:tr w:rsidR="002E5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left"/>
              <w:rPr>
                <w:rFonts w:ascii="Times New Roman" w:hAnsi="Times New Roman"/>
                <w:color w:val="000000"/>
                <w:kern w:val="0"/>
                <w:sz w:val="20"/>
                <w:szCs w:val="20"/>
              </w:rPr>
            </w:pPr>
            <w:r>
              <w:rPr>
                <w:rFonts w:ascii="Times New Roman" w:hAnsi="Times New Roman"/>
                <w:color w:val="000000"/>
                <w:kern w:val="0"/>
                <w:sz w:val="20"/>
                <w:szCs w:val="20"/>
              </w:rPr>
              <w:t>制度执行有效性</w:t>
            </w:r>
          </w:p>
        </w:tc>
        <w:tc>
          <w:tcPr>
            <w:tcW w:w="1132"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有效</w:t>
            </w:r>
          </w:p>
        </w:tc>
        <w:tc>
          <w:tcPr>
            <w:tcW w:w="1009"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14"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r>
      <w:tr w:rsidR="002E5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left"/>
              <w:rPr>
                <w:rFonts w:ascii="Times New Roman" w:hAnsi="Times New Roman"/>
                <w:color w:val="000000"/>
                <w:kern w:val="0"/>
                <w:sz w:val="20"/>
                <w:szCs w:val="20"/>
              </w:rPr>
            </w:pPr>
            <w:r>
              <w:rPr>
                <w:rFonts w:ascii="Times New Roman" w:hAnsi="Times New Roman"/>
                <w:color w:val="000000"/>
                <w:kern w:val="0"/>
                <w:sz w:val="20"/>
                <w:szCs w:val="20"/>
              </w:rPr>
              <w:t>管理制度健全性</w:t>
            </w:r>
          </w:p>
        </w:tc>
        <w:tc>
          <w:tcPr>
            <w:tcW w:w="1132"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健全</w:t>
            </w:r>
          </w:p>
        </w:tc>
        <w:tc>
          <w:tcPr>
            <w:tcW w:w="1009"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14"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r>
      <w:tr w:rsidR="002E5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1216" w:type="dxa"/>
            <w:gridSpan w:val="2"/>
            <w:vMerge w:val="restart"/>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left"/>
              <w:rPr>
                <w:rFonts w:ascii="Times New Roman" w:hAnsi="Times New Roman"/>
                <w:color w:val="000000"/>
                <w:kern w:val="0"/>
                <w:sz w:val="20"/>
                <w:szCs w:val="20"/>
              </w:rPr>
            </w:pPr>
            <w:r>
              <w:rPr>
                <w:rFonts w:ascii="Times New Roman" w:hAnsi="Times New Roman"/>
                <w:color w:val="000000"/>
                <w:kern w:val="0"/>
                <w:sz w:val="20"/>
                <w:szCs w:val="20"/>
              </w:rPr>
              <w:t>产出目标</w:t>
            </w: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left"/>
              <w:rPr>
                <w:rFonts w:ascii="Times New Roman" w:hAnsi="Times New Roman"/>
                <w:color w:val="000000"/>
                <w:kern w:val="0"/>
                <w:sz w:val="20"/>
                <w:szCs w:val="20"/>
              </w:rPr>
            </w:pPr>
            <w:r>
              <w:rPr>
                <w:rFonts w:ascii="Times New Roman" w:hAnsi="Times New Roman"/>
                <w:color w:val="000000"/>
                <w:kern w:val="0"/>
                <w:sz w:val="20"/>
                <w:szCs w:val="20"/>
              </w:rPr>
              <w:t>数字化扫描</w:t>
            </w:r>
          </w:p>
        </w:tc>
        <w:tc>
          <w:tcPr>
            <w:tcW w:w="1132"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&gt;=400</w:t>
            </w:r>
          </w:p>
        </w:tc>
        <w:tc>
          <w:tcPr>
            <w:tcW w:w="1009"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486</w:t>
            </w:r>
          </w:p>
        </w:tc>
        <w:tc>
          <w:tcPr>
            <w:tcW w:w="914"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w:t>
            </w:r>
          </w:p>
        </w:tc>
      </w:tr>
      <w:tr w:rsidR="002E5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left"/>
              <w:rPr>
                <w:rFonts w:ascii="Times New Roman" w:hAnsi="Times New Roman"/>
                <w:color w:val="000000"/>
                <w:kern w:val="0"/>
                <w:sz w:val="20"/>
                <w:szCs w:val="20"/>
              </w:rPr>
            </w:pPr>
            <w:r>
              <w:rPr>
                <w:rFonts w:ascii="Times New Roman" w:hAnsi="Times New Roman"/>
                <w:color w:val="000000"/>
                <w:kern w:val="0"/>
                <w:sz w:val="20"/>
                <w:szCs w:val="20"/>
              </w:rPr>
              <w:t>电子文件分辨率</w:t>
            </w:r>
          </w:p>
        </w:tc>
        <w:tc>
          <w:tcPr>
            <w:tcW w:w="1132"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=300dpi</w:t>
            </w:r>
          </w:p>
        </w:tc>
        <w:tc>
          <w:tcPr>
            <w:tcW w:w="1009"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300dpi</w:t>
            </w:r>
          </w:p>
        </w:tc>
        <w:tc>
          <w:tcPr>
            <w:tcW w:w="914"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w:t>
            </w:r>
          </w:p>
        </w:tc>
      </w:tr>
      <w:tr w:rsidR="002E5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left"/>
              <w:rPr>
                <w:rFonts w:ascii="Times New Roman" w:hAnsi="Times New Roman"/>
                <w:color w:val="000000"/>
                <w:kern w:val="0"/>
                <w:sz w:val="20"/>
                <w:szCs w:val="20"/>
              </w:rPr>
            </w:pPr>
            <w:r>
              <w:rPr>
                <w:rFonts w:ascii="Times New Roman" w:hAnsi="Times New Roman"/>
                <w:color w:val="000000"/>
                <w:kern w:val="0"/>
                <w:sz w:val="20"/>
                <w:szCs w:val="20"/>
              </w:rPr>
              <w:t>档案整理归档及时性</w:t>
            </w:r>
          </w:p>
        </w:tc>
        <w:tc>
          <w:tcPr>
            <w:tcW w:w="1132"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及时</w:t>
            </w:r>
          </w:p>
        </w:tc>
        <w:tc>
          <w:tcPr>
            <w:tcW w:w="1009"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14"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w:t>
            </w:r>
          </w:p>
        </w:tc>
      </w:tr>
      <w:tr w:rsidR="002E5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1216" w:type="dxa"/>
            <w:gridSpan w:val="2"/>
            <w:vMerge w:val="restart"/>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left"/>
              <w:rPr>
                <w:rFonts w:ascii="Times New Roman" w:hAnsi="Times New Roman"/>
                <w:color w:val="000000"/>
                <w:kern w:val="0"/>
                <w:sz w:val="20"/>
                <w:szCs w:val="20"/>
              </w:rPr>
            </w:pPr>
            <w:r>
              <w:rPr>
                <w:rFonts w:ascii="Times New Roman" w:hAnsi="Times New Roman"/>
                <w:color w:val="000000"/>
                <w:kern w:val="0"/>
                <w:sz w:val="20"/>
                <w:szCs w:val="20"/>
              </w:rPr>
              <w:t>效益目标</w:t>
            </w: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left"/>
              <w:rPr>
                <w:rFonts w:ascii="Times New Roman" w:hAnsi="Times New Roman"/>
                <w:color w:val="000000"/>
                <w:kern w:val="0"/>
                <w:sz w:val="20"/>
                <w:szCs w:val="20"/>
              </w:rPr>
            </w:pPr>
            <w:r>
              <w:rPr>
                <w:rFonts w:ascii="Times New Roman" w:hAnsi="Times New Roman"/>
                <w:color w:val="000000"/>
                <w:kern w:val="0"/>
                <w:sz w:val="20"/>
                <w:szCs w:val="20"/>
              </w:rPr>
              <w:t>图像文件与目录数据对应性</w:t>
            </w:r>
          </w:p>
        </w:tc>
        <w:tc>
          <w:tcPr>
            <w:tcW w:w="1132"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1009"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17.5</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14"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17.5</w:t>
            </w:r>
          </w:p>
        </w:tc>
      </w:tr>
      <w:tr w:rsidR="002E5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2E5698" w:rsidRDefault="002E5698">
            <w:pPr>
              <w:widowControl/>
              <w:jc w:val="left"/>
              <w:rPr>
                <w:rFonts w:ascii="Times New Roman" w:hAnsi="Times New Roman"/>
                <w:color w:val="000000"/>
                <w:kern w:val="0"/>
                <w:sz w:val="20"/>
                <w:szCs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left"/>
              <w:rPr>
                <w:rFonts w:ascii="Times New Roman" w:hAnsi="Times New Roman"/>
                <w:color w:val="000000"/>
                <w:kern w:val="0"/>
                <w:sz w:val="20"/>
                <w:szCs w:val="20"/>
              </w:rPr>
            </w:pPr>
            <w:r>
              <w:rPr>
                <w:rFonts w:ascii="Times New Roman" w:hAnsi="Times New Roman"/>
                <w:color w:val="000000"/>
                <w:kern w:val="0"/>
                <w:sz w:val="20"/>
                <w:szCs w:val="20"/>
              </w:rPr>
              <w:t>数据入库率</w:t>
            </w:r>
          </w:p>
        </w:tc>
        <w:tc>
          <w:tcPr>
            <w:tcW w:w="1132"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1009"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17.5</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14" w:type="dxa"/>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17.5</w:t>
            </w:r>
          </w:p>
        </w:tc>
      </w:tr>
      <w:tr w:rsidR="002E5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7937" w:type="dxa"/>
            <w:gridSpan w:val="12"/>
            <w:tcBorders>
              <w:top w:val="single" w:sz="4" w:space="0" w:color="auto"/>
              <w:left w:val="single" w:sz="4" w:space="0" w:color="auto"/>
              <w:bottom w:val="single" w:sz="4" w:space="0" w:color="auto"/>
              <w:right w:val="single" w:sz="4" w:space="0" w:color="auto"/>
            </w:tcBorders>
            <w:vAlign w:val="center"/>
          </w:tcPr>
          <w:p w:rsidR="002E5698" w:rsidRDefault="0066339B">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合计</w:t>
            </w:r>
          </w:p>
        </w:tc>
        <w:tc>
          <w:tcPr>
            <w:tcW w:w="914" w:type="dxa"/>
            <w:tcBorders>
              <w:top w:val="single" w:sz="4" w:space="0" w:color="auto"/>
              <w:left w:val="single" w:sz="4" w:space="0" w:color="auto"/>
              <w:bottom w:val="single" w:sz="4" w:space="0" w:color="auto"/>
              <w:right w:val="single" w:sz="4" w:space="0" w:color="auto"/>
            </w:tcBorders>
            <w:vAlign w:val="center"/>
          </w:tcPr>
          <w:p w:rsidR="002E5698" w:rsidRPr="0066339B" w:rsidRDefault="0066339B">
            <w:pPr>
              <w:widowControl/>
              <w:jc w:val="center"/>
              <w:rPr>
                <w:rFonts w:ascii="Times New Roman" w:hAnsi="Times New Roman"/>
                <w:color w:val="000000"/>
                <w:kern w:val="0"/>
                <w:sz w:val="20"/>
                <w:szCs w:val="20"/>
              </w:rPr>
            </w:pPr>
            <w:r w:rsidRPr="0066339B">
              <w:rPr>
                <w:rFonts w:ascii="Times New Roman" w:hAnsi="Times New Roman"/>
                <w:sz w:val="20"/>
                <w:szCs w:val="20"/>
              </w:rPr>
              <w:t>81.87</w:t>
            </w:r>
          </w:p>
        </w:tc>
      </w:tr>
    </w:tbl>
    <w:p w:rsidR="002E5698" w:rsidRDefault="002E5698">
      <w:pPr>
        <w:rPr>
          <w:rFonts w:ascii="Times New Roman" w:hAnsi="Times New Roman"/>
        </w:rPr>
      </w:pPr>
    </w:p>
    <w:tbl>
      <w:tblPr>
        <w:tblW w:w="8733" w:type="dxa"/>
        <w:tblInd w:w="-147" w:type="dxa"/>
        <w:tblCellMar>
          <w:left w:w="0" w:type="dxa"/>
          <w:right w:w="0" w:type="dxa"/>
        </w:tblCellMar>
        <w:tblLook w:val="04A0"/>
      </w:tblPr>
      <w:tblGrid>
        <w:gridCol w:w="1547"/>
        <w:gridCol w:w="840"/>
        <w:gridCol w:w="960"/>
        <w:gridCol w:w="960"/>
        <w:gridCol w:w="960"/>
        <w:gridCol w:w="960"/>
        <w:gridCol w:w="960"/>
        <w:gridCol w:w="1546"/>
      </w:tblGrid>
      <w:tr w:rsidR="002E5698">
        <w:tc>
          <w:tcPr>
            <w:tcW w:w="8733"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spacing w:line="300" w:lineRule="exact"/>
              <w:jc w:val="left"/>
              <w:rPr>
                <w:rFonts w:ascii="Times New Roman" w:hAnsi="Times New Roman"/>
                <w:color w:val="000000"/>
                <w:sz w:val="22"/>
              </w:rPr>
            </w:pPr>
            <w:r>
              <w:rPr>
                <w:rFonts w:ascii="Times New Roman" w:eastAsia="黑体" w:hAnsi="Times New Roman"/>
                <w:color w:val="000000"/>
                <w:kern w:val="0"/>
                <w:szCs w:val="21"/>
              </w:rPr>
              <w:lastRenderedPageBreak/>
              <w:t>填表说明：</w:t>
            </w:r>
            <w:r>
              <w:rPr>
                <w:rFonts w:ascii="Times New Roman" w:eastAsia="楷体_GB2312" w:hAnsi="Times New Roman"/>
                <w:b/>
                <w:color w:val="000000"/>
                <w:kern w:val="0"/>
                <w:szCs w:val="21"/>
              </w:rPr>
              <w:t>1</w:t>
            </w:r>
            <w:r>
              <w:rPr>
                <w:rFonts w:ascii="Times New Roman" w:eastAsia="楷体_GB2312" w:hAnsi="Times New Roman"/>
                <w:b/>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年初预算数</w:t>
            </w:r>
            <w:r>
              <w:rPr>
                <w:rFonts w:ascii="Times New Roman" w:eastAsia="楷体_GB2312" w:hAnsi="Times New Roman"/>
                <w:color w:val="000000"/>
                <w:kern w:val="0"/>
                <w:szCs w:val="21"/>
              </w:rPr>
              <w:t>”</w:t>
            </w:r>
            <w:proofErr w:type="gramStart"/>
            <w:r>
              <w:rPr>
                <w:rFonts w:ascii="Times New Roman" w:eastAsia="楷体_GB2312" w:hAnsi="Times New Roman"/>
                <w:color w:val="000000"/>
                <w:kern w:val="0"/>
                <w:szCs w:val="21"/>
              </w:rPr>
              <w:t>填</w:t>
            </w:r>
            <w:r>
              <w:rPr>
                <w:rFonts w:ascii="Times New Roman" w:eastAsia="楷体_GB2312" w:hAnsi="Times New Roman"/>
                <w:color w:val="000000"/>
                <w:kern w:val="0"/>
                <w:szCs w:val="21"/>
              </w:rPr>
              <w:t>预算</w:t>
            </w:r>
            <w:proofErr w:type="gramEnd"/>
            <w:r>
              <w:rPr>
                <w:rFonts w:ascii="Times New Roman" w:eastAsia="楷体_GB2312" w:hAnsi="Times New Roman"/>
                <w:color w:val="000000"/>
                <w:kern w:val="0"/>
                <w:szCs w:val="21"/>
              </w:rPr>
              <w:t>批复</w:t>
            </w:r>
            <w:r>
              <w:rPr>
                <w:rFonts w:ascii="Times New Roman" w:eastAsia="楷体_GB2312" w:hAnsi="Times New Roman"/>
                <w:color w:val="000000"/>
                <w:kern w:val="0"/>
                <w:szCs w:val="21"/>
              </w:rPr>
              <w:t>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当年使用上年结余、结转及当年预算</w:t>
            </w:r>
            <w:r>
              <w:rPr>
                <w:rFonts w:ascii="Times New Roman" w:eastAsia="楷体_GB2312" w:hAnsi="Times New Roman"/>
                <w:color w:val="000000"/>
                <w:kern w:val="0"/>
                <w:szCs w:val="21"/>
              </w:rPr>
              <w:t>追加追减</w:t>
            </w:r>
            <w:r>
              <w:rPr>
                <w:rFonts w:ascii="Times New Roman" w:eastAsia="楷体_GB2312" w:hAnsi="Times New Roman"/>
                <w:color w:val="000000"/>
                <w:kern w:val="0"/>
                <w:szCs w:val="21"/>
              </w:rPr>
              <w:t>数</w:t>
            </w:r>
            <w:r>
              <w:rPr>
                <w:rFonts w:ascii="Times New Roman" w:eastAsia="楷体_GB2312" w:hAnsi="Times New Roman"/>
                <w:color w:val="000000"/>
                <w:kern w:val="0"/>
                <w:szCs w:val="21"/>
              </w:rPr>
              <w:t>”</w:t>
            </w:r>
            <w:proofErr w:type="gramStart"/>
            <w:r>
              <w:rPr>
                <w:rFonts w:ascii="Times New Roman" w:eastAsia="楷体_GB2312" w:hAnsi="Times New Roman"/>
                <w:color w:val="000000"/>
                <w:kern w:val="0"/>
                <w:szCs w:val="21"/>
              </w:rPr>
              <w:t>填当年</w:t>
            </w:r>
            <w:proofErr w:type="gramEnd"/>
            <w:r>
              <w:rPr>
                <w:rFonts w:ascii="Times New Roman" w:eastAsia="楷体_GB2312" w:hAnsi="Times New Roman"/>
                <w:color w:val="000000"/>
                <w:kern w:val="0"/>
                <w:szCs w:val="21"/>
              </w:rPr>
              <w:t>使用上年结余、结转数以及追加或</w:t>
            </w:r>
            <w:r>
              <w:rPr>
                <w:rFonts w:ascii="Times New Roman" w:eastAsia="楷体_GB2312" w:hAnsi="Times New Roman"/>
                <w:color w:val="000000"/>
                <w:kern w:val="0"/>
                <w:szCs w:val="21"/>
              </w:rPr>
              <w:t>追</w:t>
            </w:r>
            <w:proofErr w:type="gramStart"/>
            <w:r>
              <w:rPr>
                <w:rFonts w:ascii="Times New Roman" w:eastAsia="楷体_GB2312" w:hAnsi="Times New Roman"/>
                <w:color w:val="000000"/>
                <w:kern w:val="0"/>
                <w:szCs w:val="21"/>
              </w:rPr>
              <w:t>减</w:t>
            </w:r>
            <w:r>
              <w:rPr>
                <w:rFonts w:ascii="Times New Roman" w:eastAsia="楷体_GB2312" w:hAnsi="Times New Roman"/>
                <w:color w:val="000000"/>
                <w:kern w:val="0"/>
                <w:szCs w:val="21"/>
              </w:rPr>
              <w:t>预算</w:t>
            </w:r>
            <w:proofErr w:type="gramEnd"/>
            <w:r>
              <w:rPr>
                <w:rFonts w:ascii="Times New Roman" w:eastAsia="楷体_GB2312" w:hAnsi="Times New Roman"/>
                <w:color w:val="000000"/>
                <w:kern w:val="0"/>
                <w:szCs w:val="21"/>
              </w:rPr>
              <w:t>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财政拨款数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填财政部门实际拨付的款项数；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实际支付数</w:t>
            </w:r>
            <w:r>
              <w:rPr>
                <w:rFonts w:ascii="Times New Roman" w:eastAsia="楷体_GB2312" w:hAnsi="Times New Roman"/>
                <w:color w:val="000000"/>
                <w:kern w:val="0"/>
                <w:szCs w:val="21"/>
              </w:rPr>
              <w:t>”</w:t>
            </w:r>
            <w:proofErr w:type="gramStart"/>
            <w:r>
              <w:rPr>
                <w:rFonts w:ascii="Times New Roman" w:eastAsia="楷体_GB2312" w:hAnsi="Times New Roman"/>
                <w:color w:val="000000"/>
                <w:kern w:val="0"/>
                <w:szCs w:val="21"/>
              </w:rPr>
              <w:t>填资金</w:t>
            </w:r>
            <w:proofErr w:type="gramEnd"/>
            <w:r>
              <w:rPr>
                <w:rFonts w:ascii="Times New Roman" w:eastAsia="楷体_GB2312" w:hAnsi="Times New Roman"/>
                <w:color w:val="000000"/>
                <w:kern w:val="0"/>
                <w:szCs w:val="21"/>
              </w:rPr>
              <w:t>实际支付到最终使用者的数额；</w:t>
            </w:r>
            <w:r>
              <w:rPr>
                <w:rFonts w:ascii="Times New Roman" w:eastAsia="楷体_GB2312" w:hAnsi="Times New Roman"/>
                <w:color w:val="000000"/>
                <w:kern w:val="0"/>
                <w:szCs w:val="21"/>
              </w:rPr>
              <w:t>“</w:t>
            </w:r>
            <w:r>
              <w:rPr>
                <w:rFonts w:ascii="Times New Roman" w:eastAsia="楷体_GB2312" w:hAnsi="Times New Roman"/>
                <w:color w:val="000000"/>
                <w:kern w:val="0"/>
                <w:szCs w:val="21"/>
              </w:rPr>
              <w:t>结转数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填结转以后年度使用的资金数；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财政收回数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填财政部门收回的资金数。指标结余数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年初预算数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当年使用上年结余、结转及当年预算</w:t>
            </w:r>
            <w:r>
              <w:rPr>
                <w:rFonts w:ascii="Times New Roman" w:eastAsia="楷体_GB2312" w:hAnsi="Times New Roman"/>
                <w:color w:val="000000"/>
                <w:kern w:val="0"/>
                <w:szCs w:val="21"/>
              </w:rPr>
              <w:t>追加追减</w:t>
            </w:r>
            <w:r>
              <w:rPr>
                <w:rFonts w:ascii="Times New Roman" w:eastAsia="楷体_GB2312" w:hAnsi="Times New Roman"/>
                <w:color w:val="000000"/>
                <w:kern w:val="0"/>
                <w:szCs w:val="21"/>
              </w:rPr>
              <w:t>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财政拨款数；</w:t>
            </w:r>
            <w:r>
              <w:rPr>
                <w:rFonts w:ascii="Times New Roman" w:eastAsia="楷体_GB2312" w:hAnsi="Times New Roman"/>
                <w:color w:val="000000"/>
                <w:kern w:val="0"/>
                <w:szCs w:val="21"/>
              </w:rPr>
              <w:t>计划结余数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财政拨款数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实际支付数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计划</w:t>
            </w:r>
            <w:r>
              <w:rPr>
                <w:rFonts w:ascii="Times New Roman" w:eastAsia="楷体_GB2312" w:hAnsi="Times New Roman"/>
                <w:color w:val="000000"/>
                <w:kern w:val="0"/>
                <w:szCs w:val="21"/>
              </w:rPr>
              <w:t>结转数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财政收回数。</w:t>
            </w:r>
            <w:r>
              <w:rPr>
                <w:rFonts w:ascii="Times New Roman" w:eastAsia="楷体_GB2312" w:hAnsi="Times New Roman"/>
                <w:b/>
                <w:color w:val="000000"/>
                <w:kern w:val="0"/>
                <w:szCs w:val="21"/>
              </w:rPr>
              <w:t>2</w:t>
            </w:r>
            <w:r>
              <w:rPr>
                <w:rFonts w:ascii="Times New Roman" w:eastAsia="楷体_GB2312" w:hAnsi="Times New Roman"/>
                <w:b/>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决策</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过程</w:t>
            </w:r>
            <w:r>
              <w:rPr>
                <w:rFonts w:ascii="Times New Roman" w:eastAsia="楷体_GB2312" w:hAnsi="Times New Roman"/>
                <w:color w:val="000000"/>
                <w:kern w:val="0"/>
                <w:szCs w:val="21"/>
              </w:rPr>
              <w:t>”</w:t>
            </w:r>
            <w:r>
              <w:rPr>
                <w:rFonts w:ascii="Times New Roman" w:eastAsia="楷体_GB2312" w:hAnsi="Times New Roman"/>
                <w:color w:val="000000"/>
                <w:kern w:val="0"/>
                <w:szCs w:val="21"/>
              </w:rPr>
              <w:t>类指标</w:t>
            </w:r>
            <w:r>
              <w:rPr>
                <w:rFonts w:ascii="Times New Roman" w:eastAsia="楷体_GB2312" w:hAnsi="Times New Roman"/>
                <w:color w:val="000000"/>
                <w:kern w:val="0"/>
                <w:szCs w:val="21"/>
              </w:rPr>
              <w:t>每个指标的权重值固定</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产出</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效益</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满意度</w:t>
            </w:r>
            <w:r>
              <w:rPr>
                <w:rFonts w:ascii="Times New Roman" w:eastAsia="楷体_GB2312" w:hAnsi="Times New Roman"/>
                <w:color w:val="000000"/>
                <w:kern w:val="0"/>
                <w:szCs w:val="21"/>
              </w:rPr>
              <w:t>”</w:t>
            </w:r>
            <w:r>
              <w:rPr>
                <w:rFonts w:ascii="Times New Roman" w:eastAsia="楷体_GB2312" w:hAnsi="Times New Roman"/>
                <w:color w:val="000000"/>
                <w:kern w:val="0"/>
                <w:szCs w:val="21"/>
              </w:rPr>
              <w:t>指标权重值是根据指标数量将</w:t>
            </w:r>
            <w:r>
              <w:rPr>
                <w:rFonts w:ascii="Times New Roman" w:eastAsia="楷体_GB2312" w:hAnsi="Times New Roman"/>
                <w:color w:val="000000"/>
                <w:kern w:val="0"/>
                <w:szCs w:val="21"/>
              </w:rPr>
              <w:t>每类</w:t>
            </w:r>
            <w:r>
              <w:rPr>
                <w:rFonts w:ascii="Times New Roman" w:eastAsia="楷体_GB2312" w:hAnsi="Times New Roman"/>
                <w:color w:val="000000"/>
                <w:kern w:val="0"/>
                <w:szCs w:val="21"/>
              </w:rPr>
              <w:t>指标总</w:t>
            </w:r>
            <w:r>
              <w:rPr>
                <w:rFonts w:ascii="Times New Roman" w:eastAsia="楷体_GB2312" w:hAnsi="Times New Roman"/>
                <w:color w:val="000000"/>
                <w:kern w:val="0"/>
                <w:szCs w:val="21"/>
              </w:rPr>
              <w:t>分值分摊到各项指标，即各项指标分值</w:t>
            </w:r>
            <w:r>
              <w:rPr>
                <w:rFonts w:ascii="Times New Roman" w:eastAsia="楷体_GB2312" w:hAnsi="Times New Roman"/>
                <w:color w:val="000000"/>
                <w:kern w:val="0"/>
                <w:szCs w:val="21"/>
              </w:rPr>
              <w:t>=</w:t>
            </w:r>
            <w:r>
              <w:rPr>
                <w:rFonts w:ascii="Times New Roman" w:eastAsia="楷体_GB2312" w:hAnsi="Times New Roman"/>
                <w:color w:val="000000"/>
                <w:kern w:val="0"/>
                <w:szCs w:val="21"/>
              </w:rPr>
              <w:t>每类</w:t>
            </w:r>
            <w:r>
              <w:rPr>
                <w:rFonts w:ascii="Times New Roman" w:eastAsia="楷体_GB2312" w:hAnsi="Times New Roman"/>
                <w:color w:val="000000"/>
                <w:kern w:val="0"/>
                <w:szCs w:val="21"/>
              </w:rPr>
              <w:t>指标</w:t>
            </w:r>
            <w:r>
              <w:rPr>
                <w:rFonts w:ascii="Times New Roman" w:eastAsia="楷体_GB2312" w:hAnsi="Times New Roman"/>
                <w:color w:val="000000"/>
                <w:kern w:val="0"/>
                <w:szCs w:val="21"/>
              </w:rPr>
              <w:t>总分值</w:t>
            </w:r>
            <w:r>
              <w:rPr>
                <w:rFonts w:ascii="Times New Roman" w:eastAsia="楷体_GB2312" w:hAnsi="Times New Roman"/>
                <w:color w:val="000000"/>
                <w:kern w:val="0"/>
                <w:szCs w:val="21"/>
              </w:rPr>
              <w:t>/</w:t>
            </w:r>
            <w:r>
              <w:rPr>
                <w:rFonts w:ascii="Times New Roman" w:eastAsia="楷体_GB2312" w:hAnsi="Times New Roman"/>
                <w:color w:val="000000"/>
                <w:kern w:val="0"/>
                <w:szCs w:val="21"/>
              </w:rPr>
              <w:t>该类</w:t>
            </w:r>
            <w:r>
              <w:rPr>
                <w:rFonts w:ascii="Times New Roman" w:eastAsia="楷体_GB2312" w:hAnsi="Times New Roman"/>
                <w:color w:val="000000"/>
                <w:kern w:val="0"/>
                <w:szCs w:val="21"/>
              </w:rPr>
              <w:t>指标个数。</w:t>
            </w:r>
            <w:r>
              <w:rPr>
                <w:rFonts w:ascii="Times New Roman" w:eastAsia="楷体_GB2312" w:hAnsi="Times New Roman"/>
                <w:b/>
                <w:color w:val="000000"/>
                <w:kern w:val="0"/>
                <w:szCs w:val="21"/>
              </w:rPr>
              <w:t>3</w:t>
            </w:r>
            <w:r>
              <w:rPr>
                <w:rFonts w:ascii="Times New Roman" w:eastAsia="楷体_GB2312" w:hAnsi="Times New Roman"/>
                <w:b/>
                <w:color w:val="000000"/>
                <w:kern w:val="0"/>
                <w:szCs w:val="21"/>
              </w:rPr>
              <w:t>．</w:t>
            </w:r>
            <w:r>
              <w:rPr>
                <w:rFonts w:ascii="Times New Roman" w:eastAsia="楷体_GB2312" w:hAnsi="Times New Roman"/>
                <w:color w:val="000000"/>
                <w:kern w:val="0"/>
                <w:szCs w:val="21"/>
              </w:rPr>
              <w:t>各项数据采集的时间节点均为</w:t>
            </w:r>
            <w:r>
              <w:rPr>
                <w:rFonts w:ascii="Times New Roman" w:eastAsia="楷体_GB2312" w:hAnsi="Times New Roman"/>
                <w:color w:val="000000"/>
                <w:kern w:val="0"/>
                <w:szCs w:val="21"/>
              </w:rPr>
              <w:t>202</w:t>
            </w:r>
            <w:r>
              <w:rPr>
                <w:rFonts w:ascii="Times New Roman" w:eastAsia="楷体_GB2312" w:hAnsi="Times New Roman"/>
                <w:color w:val="000000"/>
                <w:kern w:val="0"/>
                <w:szCs w:val="21"/>
              </w:rPr>
              <w:t>4</w:t>
            </w:r>
            <w:r>
              <w:rPr>
                <w:rFonts w:ascii="Times New Roman" w:eastAsia="楷体_GB2312" w:hAnsi="Times New Roman"/>
                <w:color w:val="000000"/>
                <w:kern w:val="0"/>
                <w:szCs w:val="21"/>
              </w:rPr>
              <w:t>年</w:t>
            </w:r>
            <w:r>
              <w:rPr>
                <w:rFonts w:ascii="Times New Roman" w:eastAsia="楷体_GB2312" w:hAnsi="Times New Roman"/>
                <w:color w:val="000000"/>
                <w:kern w:val="0"/>
                <w:szCs w:val="21"/>
              </w:rPr>
              <w:t>12</w:t>
            </w:r>
            <w:r>
              <w:rPr>
                <w:rFonts w:ascii="Times New Roman" w:eastAsia="楷体_GB2312" w:hAnsi="Times New Roman"/>
                <w:color w:val="000000"/>
                <w:kern w:val="0"/>
                <w:szCs w:val="21"/>
              </w:rPr>
              <w:t>月</w:t>
            </w:r>
            <w:r>
              <w:rPr>
                <w:rFonts w:ascii="Times New Roman" w:eastAsia="楷体_GB2312" w:hAnsi="Times New Roman"/>
                <w:color w:val="000000"/>
                <w:kern w:val="0"/>
                <w:szCs w:val="21"/>
              </w:rPr>
              <w:t>31</w:t>
            </w:r>
            <w:r>
              <w:rPr>
                <w:rFonts w:ascii="Times New Roman" w:eastAsia="楷体_GB2312" w:hAnsi="Times New Roman"/>
                <w:color w:val="000000"/>
                <w:kern w:val="0"/>
                <w:szCs w:val="21"/>
              </w:rPr>
              <w:t>日。</w:t>
            </w:r>
            <w:r>
              <w:rPr>
                <w:rFonts w:ascii="Times New Roman" w:eastAsia="楷体_GB2312" w:hAnsi="Times New Roman"/>
                <w:b/>
                <w:color w:val="000000"/>
                <w:kern w:val="0"/>
                <w:szCs w:val="21"/>
              </w:rPr>
              <w:t>4</w:t>
            </w:r>
            <w:r>
              <w:rPr>
                <w:rFonts w:ascii="Times New Roman" w:eastAsia="楷体_GB2312" w:hAnsi="Times New Roman"/>
                <w:b/>
                <w:color w:val="000000"/>
                <w:kern w:val="0"/>
                <w:szCs w:val="21"/>
              </w:rPr>
              <w:t>．</w:t>
            </w:r>
            <w:r>
              <w:rPr>
                <w:rFonts w:ascii="Times New Roman" w:eastAsia="楷体_GB2312" w:hAnsi="Times New Roman"/>
                <w:color w:val="000000"/>
                <w:kern w:val="0"/>
                <w:szCs w:val="21"/>
              </w:rPr>
              <w:t>定性指标</w:t>
            </w:r>
            <w:r>
              <w:rPr>
                <w:rFonts w:ascii="Times New Roman" w:eastAsia="楷体_GB2312" w:hAnsi="Times New Roman"/>
                <w:color w:val="000000"/>
                <w:kern w:val="0"/>
                <w:szCs w:val="21"/>
              </w:rPr>
              <w:t>根据实际完成情况按照</w:t>
            </w:r>
            <w:r>
              <w:rPr>
                <w:rFonts w:ascii="Times New Roman" w:eastAsia="楷体_GB2312" w:hAnsi="Times New Roman"/>
                <w:color w:val="000000"/>
                <w:kern w:val="0"/>
                <w:szCs w:val="21"/>
              </w:rPr>
              <w:t>100%</w:t>
            </w:r>
            <w:r>
              <w:rPr>
                <w:rFonts w:ascii="Times New Roman" w:eastAsia="楷体_GB2312" w:hAnsi="Times New Roman"/>
                <w:color w:val="000000"/>
                <w:kern w:val="0"/>
                <w:szCs w:val="21"/>
              </w:rPr>
              <w:t>、</w:t>
            </w:r>
            <w:r>
              <w:rPr>
                <w:rFonts w:ascii="Times New Roman" w:eastAsia="楷体_GB2312" w:hAnsi="Times New Roman"/>
                <w:color w:val="000000"/>
                <w:kern w:val="0"/>
                <w:szCs w:val="21"/>
              </w:rPr>
              <w:t>80%</w:t>
            </w:r>
            <w:r>
              <w:rPr>
                <w:rFonts w:ascii="Times New Roman" w:eastAsia="楷体_GB2312" w:hAnsi="Times New Roman"/>
                <w:color w:val="000000"/>
                <w:kern w:val="0"/>
                <w:szCs w:val="21"/>
              </w:rPr>
              <w:t>、</w:t>
            </w:r>
            <w:r>
              <w:rPr>
                <w:rFonts w:ascii="Times New Roman" w:eastAsia="楷体_GB2312" w:hAnsi="Times New Roman"/>
                <w:color w:val="000000"/>
                <w:kern w:val="0"/>
                <w:szCs w:val="21"/>
              </w:rPr>
              <w:t>60%</w:t>
            </w:r>
            <w:r>
              <w:rPr>
                <w:rFonts w:ascii="Times New Roman" w:eastAsia="楷体_GB2312" w:hAnsi="Times New Roman"/>
                <w:color w:val="000000"/>
                <w:kern w:val="0"/>
                <w:szCs w:val="21"/>
              </w:rPr>
              <w:t>、</w:t>
            </w:r>
            <w:r>
              <w:rPr>
                <w:rFonts w:ascii="Times New Roman" w:eastAsia="楷体_GB2312" w:hAnsi="Times New Roman"/>
                <w:color w:val="000000"/>
                <w:kern w:val="0"/>
                <w:szCs w:val="21"/>
              </w:rPr>
              <w:t>40%</w:t>
            </w:r>
            <w:r>
              <w:rPr>
                <w:rFonts w:ascii="Times New Roman" w:eastAsia="楷体_GB2312" w:hAnsi="Times New Roman"/>
                <w:color w:val="000000"/>
                <w:kern w:val="0"/>
                <w:szCs w:val="21"/>
              </w:rPr>
              <w:t>、</w:t>
            </w:r>
            <w:r>
              <w:rPr>
                <w:rFonts w:ascii="Times New Roman" w:eastAsia="楷体_GB2312" w:hAnsi="Times New Roman"/>
                <w:color w:val="000000"/>
                <w:kern w:val="0"/>
                <w:szCs w:val="21"/>
              </w:rPr>
              <w:t>20%</w:t>
            </w:r>
            <w:r>
              <w:rPr>
                <w:rFonts w:ascii="Times New Roman" w:eastAsia="楷体_GB2312" w:hAnsi="Times New Roman"/>
                <w:color w:val="000000"/>
                <w:kern w:val="0"/>
                <w:szCs w:val="21"/>
              </w:rPr>
              <w:t>、</w:t>
            </w:r>
            <w:r>
              <w:rPr>
                <w:rFonts w:ascii="Times New Roman" w:eastAsia="楷体_GB2312" w:hAnsi="Times New Roman"/>
                <w:color w:val="000000"/>
                <w:kern w:val="0"/>
                <w:szCs w:val="21"/>
              </w:rPr>
              <w:t>0</w:t>
            </w:r>
            <w:proofErr w:type="gramStart"/>
            <w:r>
              <w:rPr>
                <w:rFonts w:ascii="Times New Roman" w:eastAsia="楷体_GB2312" w:hAnsi="Times New Roman"/>
                <w:color w:val="000000"/>
                <w:kern w:val="0"/>
                <w:szCs w:val="21"/>
              </w:rPr>
              <w:t>六</w:t>
            </w:r>
            <w:proofErr w:type="gramEnd"/>
            <w:r>
              <w:rPr>
                <w:rFonts w:ascii="Times New Roman" w:eastAsia="楷体_GB2312" w:hAnsi="Times New Roman"/>
                <w:color w:val="000000"/>
                <w:kern w:val="0"/>
                <w:szCs w:val="21"/>
              </w:rPr>
              <w:t>级权重予以评分</w:t>
            </w:r>
            <w:r>
              <w:rPr>
                <w:rFonts w:ascii="Times New Roman" w:eastAsia="楷体_GB2312" w:hAnsi="Times New Roman"/>
                <w:color w:val="000000"/>
                <w:kern w:val="0"/>
                <w:szCs w:val="21"/>
              </w:rPr>
              <w:t>。定量指标评分规则：</w:t>
            </w:r>
            <w:r>
              <w:rPr>
                <w:rFonts w:ascii="Times New Roman" w:eastAsia="楷体_GB2312" w:hAnsi="Times New Roman"/>
                <w:color w:val="000000"/>
                <w:kern w:val="0"/>
                <w:szCs w:val="21"/>
              </w:rPr>
              <w:t>“</w:t>
            </w:r>
            <w:r>
              <w:rPr>
                <w:rFonts w:ascii="Times New Roman" w:eastAsia="楷体_GB2312" w:hAnsi="Times New Roman"/>
                <w:color w:val="000000"/>
                <w:kern w:val="0"/>
                <w:szCs w:val="21"/>
              </w:rPr>
              <w:t>产出</w:t>
            </w:r>
            <w:r>
              <w:rPr>
                <w:rFonts w:ascii="Times New Roman" w:eastAsia="楷体_GB2312" w:hAnsi="Times New Roman"/>
                <w:color w:val="000000"/>
                <w:kern w:val="0"/>
                <w:szCs w:val="21"/>
              </w:rPr>
              <w:t>”</w:t>
            </w:r>
            <w:r>
              <w:rPr>
                <w:rFonts w:ascii="Times New Roman" w:eastAsia="楷体_GB2312" w:hAnsi="Times New Roman"/>
                <w:color w:val="000000"/>
                <w:kern w:val="0"/>
                <w:szCs w:val="21"/>
              </w:rPr>
              <w:t>类每项指标的实际完成值对应预期设定的目标值，完成</w:t>
            </w:r>
            <w:r>
              <w:rPr>
                <w:rFonts w:ascii="Times New Roman" w:eastAsia="楷体_GB2312" w:hAnsi="Times New Roman"/>
                <w:color w:val="000000"/>
                <w:kern w:val="0"/>
                <w:szCs w:val="21"/>
              </w:rPr>
              <w:t>100%</w:t>
            </w:r>
            <w:r>
              <w:rPr>
                <w:rFonts w:ascii="Times New Roman" w:eastAsia="楷体_GB2312" w:hAnsi="Times New Roman"/>
                <w:color w:val="000000"/>
                <w:kern w:val="0"/>
                <w:szCs w:val="21"/>
              </w:rPr>
              <w:t>～</w:t>
            </w:r>
            <w:r>
              <w:rPr>
                <w:rFonts w:ascii="Times New Roman" w:eastAsia="楷体_GB2312" w:hAnsi="Times New Roman"/>
                <w:color w:val="000000"/>
                <w:kern w:val="0"/>
                <w:szCs w:val="21"/>
              </w:rPr>
              <w:t>130%</w:t>
            </w:r>
            <w:r>
              <w:rPr>
                <w:rFonts w:ascii="Times New Roman" w:eastAsia="楷体_GB2312" w:hAnsi="Times New Roman"/>
                <w:color w:val="000000"/>
                <w:kern w:val="0"/>
                <w:szCs w:val="21"/>
              </w:rPr>
              <w:t>得权重值满分，超过</w:t>
            </w:r>
            <w:r>
              <w:rPr>
                <w:rFonts w:ascii="Times New Roman" w:eastAsia="楷体_GB2312" w:hAnsi="Times New Roman"/>
                <w:color w:val="000000"/>
                <w:kern w:val="0"/>
                <w:szCs w:val="21"/>
              </w:rPr>
              <w:t>130%</w:t>
            </w:r>
            <w:r>
              <w:rPr>
                <w:rFonts w:ascii="Times New Roman" w:eastAsia="楷体_GB2312" w:hAnsi="Times New Roman"/>
                <w:color w:val="000000"/>
                <w:kern w:val="0"/>
                <w:szCs w:val="21"/>
              </w:rPr>
              <w:t>的每超过</w:t>
            </w:r>
            <w:r>
              <w:rPr>
                <w:rFonts w:ascii="Times New Roman" w:eastAsia="楷体_GB2312" w:hAnsi="Times New Roman"/>
                <w:color w:val="000000"/>
                <w:kern w:val="0"/>
                <w:szCs w:val="21"/>
              </w:rPr>
              <w:t>1%</w:t>
            </w:r>
            <w:r>
              <w:rPr>
                <w:rFonts w:ascii="Times New Roman" w:eastAsia="楷体_GB2312" w:hAnsi="Times New Roman"/>
                <w:color w:val="000000"/>
                <w:kern w:val="0"/>
                <w:szCs w:val="21"/>
              </w:rPr>
              <w:t>扣权重值</w:t>
            </w:r>
            <w:r>
              <w:rPr>
                <w:rFonts w:ascii="Times New Roman" w:eastAsia="楷体_GB2312" w:hAnsi="Times New Roman"/>
                <w:color w:val="000000"/>
                <w:kern w:val="0"/>
                <w:szCs w:val="21"/>
              </w:rPr>
              <w:t>1%</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决策</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过程</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满意度</w:t>
            </w:r>
            <w:r>
              <w:rPr>
                <w:rFonts w:ascii="Times New Roman" w:eastAsia="楷体_GB2312" w:hAnsi="Times New Roman"/>
                <w:color w:val="000000"/>
                <w:kern w:val="0"/>
                <w:szCs w:val="21"/>
              </w:rPr>
              <w:t>”</w:t>
            </w:r>
            <w:r>
              <w:rPr>
                <w:rFonts w:ascii="Times New Roman" w:eastAsia="楷体_GB2312" w:hAnsi="Times New Roman"/>
                <w:color w:val="000000"/>
                <w:kern w:val="0"/>
                <w:szCs w:val="21"/>
              </w:rPr>
              <w:t>类指标以</w:t>
            </w:r>
            <w:r>
              <w:rPr>
                <w:rFonts w:ascii="Times New Roman" w:eastAsia="楷体_GB2312" w:hAnsi="Times New Roman"/>
                <w:color w:val="000000"/>
                <w:kern w:val="0"/>
                <w:szCs w:val="21"/>
              </w:rPr>
              <w:t>100%</w:t>
            </w:r>
            <w:r>
              <w:rPr>
                <w:rFonts w:ascii="Times New Roman" w:eastAsia="楷体_GB2312" w:hAnsi="Times New Roman"/>
                <w:color w:val="000000"/>
                <w:kern w:val="0"/>
                <w:szCs w:val="21"/>
              </w:rPr>
              <w:t>为满分</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效益</w:t>
            </w:r>
            <w:r>
              <w:rPr>
                <w:rFonts w:ascii="Times New Roman" w:eastAsia="楷体_GB2312" w:hAnsi="Times New Roman"/>
                <w:color w:val="000000"/>
                <w:kern w:val="0"/>
                <w:szCs w:val="21"/>
              </w:rPr>
              <w:t>”</w:t>
            </w:r>
            <w:r>
              <w:rPr>
                <w:rFonts w:ascii="Times New Roman" w:eastAsia="楷体_GB2312" w:hAnsi="Times New Roman"/>
                <w:color w:val="000000"/>
                <w:kern w:val="0"/>
                <w:szCs w:val="21"/>
              </w:rPr>
              <w:t>类每项指标的实际完成值对应预期设定的目标值，完成</w:t>
            </w:r>
            <w:r>
              <w:rPr>
                <w:rFonts w:ascii="Times New Roman" w:eastAsia="楷体_GB2312" w:hAnsi="Times New Roman"/>
                <w:color w:val="000000"/>
                <w:kern w:val="0"/>
                <w:szCs w:val="21"/>
              </w:rPr>
              <w:t>100%</w:t>
            </w:r>
            <w:r>
              <w:rPr>
                <w:rFonts w:ascii="Times New Roman" w:eastAsia="楷体_GB2312" w:hAnsi="Times New Roman"/>
                <w:color w:val="000000"/>
                <w:kern w:val="0"/>
                <w:szCs w:val="21"/>
              </w:rPr>
              <w:t>～</w:t>
            </w:r>
            <w:r>
              <w:rPr>
                <w:rFonts w:ascii="Times New Roman" w:eastAsia="楷体_GB2312" w:hAnsi="Times New Roman"/>
                <w:color w:val="000000"/>
                <w:kern w:val="0"/>
                <w:szCs w:val="21"/>
              </w:rPr>
              <w:t>200%</w:t>
            </w:r>
            <w:r>
              <w:rPr>
                <w:rFonts w:ascii="Times New Roman" w:eastAsia="楷体_GB2312" w:hAnsi="Times New Roman"/>
                <w:color w:val="000000"/>
                <w:kern w:val="0"/>
                <w:szCs w:val="21"/>
              </w:rPr>
              <w:t>得权重值满分，超过</w:t>
            </w:r>
            <w:r>
              <w:rPr>
                <w:rFonts w:ascii="Times New Roman" w:eastAsia="楷体_GB2312" w:hAnsi="Times New Roman"/>
                <w:color w:val="000000"/>
                <w:kern w:val="0"/>
                <w:szCs w:val="21"/>
              </w:rPr>
              <w:t>200%</w:t>
            </w:r>
            <w:r>
              <w:rPr>
                <w:rFonts w:ascii="Times New Roman" w:eastAsia="楷体_GB2312" w:hAnsi="Times New Roman"/>
                <w:color w:val="000000"/>
                <w:kern w:val="0"/>
                <w:szCs w:val="21"/>
              </w:rPr>
              <w:t>的每超过</w:t>
            </w:r>
            <w:r>
              <w:rPr>
                <w:rFonts w:ascii="Times New Roman" w:eastAsia="楷体_GB2312" w:hAnsi="Times New Roman"/>
                <w:color w:val="000000"/>
                <w:kern w:val="0"/>
                <w:szCs w:val="21"/>
              </w:rPr>
              <w:t>1%</w:t>
            </w:r>
            <w:r>
              <w:rPr>
                <w:rFonts w:ascii="Times New Roman" w:eastAsia="楷体_GB2312" w:hAnsi="Times New Roman"/>
                <w:color w:val="000000"/>
                <w:kern w:val="0"/>
                <w:szCs w:val="21"/>
              </w:rPr>
              <w:t>扣权重值</w:t>
            </w:r>
            <w:r>
              <w:rPr>
                <w:rFonts w:ascii="Times New Roman" w:eastAsia="楷体_GB2312" w:hAnsi="Times New Roman"/>
                <w:color w:val="000000"/>
                <w:kern w:val="0"/>
                <w:szCs w:val="21"/>
              </w:rPr>
              <w:t>1%</w:t>
            </w:r>
            <w:r>
              <w:rPr>
                <w:rFonts w:ascii="Times New Roman" w:eastAsia="楷体_GB2312" w:hAnsi="Times New Roman"/>
                <w:color w:val="000000"/>
                <w:kern w:val="0"/>
                <w:szCs w:val="21"/>
              </w:rPr>
              <w:t>；</w:t>
            </w:r>
            <w:r>
              <w:rPr>
                <w:rFonts w:ascii="Times New Roman" w:eastAsia="楷体_GB2312" w:hAnsi="Times New Roman"/>
                <w:color w:val="000000"/>
                <w:kern w:val="0"/>
                <w:szCs w:val="21"/>
              </w:rPr>
              <w:t>五</w:t>
            </w:r>
            <w:r>
              <w:rPr>
                <w:rFonts w:ascii="Times New Roman" w:eastAsia="楷体_GB2312" w:hAnsi="Times New Roman"/>
                <w:color w:val="000000"/>
                <w:kern w:val="0"/>
                <w:szCs w:val="21"/>
              </w:rPr>
              <w:t>类指标的所有指标实际完成值每低于目标值</w:t>
            </w:r>
            <w:r>
              <w:rPr>
                <w:rFonts w:ascii="Times New Roman" w:eastAsia="楷体_GB2312" w:hAnsi="Times New Roman"/>
                <w:color w:val="000000"/>
                <w:kern w:val="0"/>
                <w:szCs w:val="21"/>
              </w:rPr>
              <w:t>1</w:t>
            </w:r>
            <w:r>
              <w:rPr>
                <w:rFonts w:ascii="Times New Roman" w:eastAsia="楷体_GB2312" w:hAnsi="Times New Roman"/>
                <w:color w:val="000000"/>
                <w:kern w:val="0"/>
                <w:szCs w:val="21"/>
              </w:rPr>
              <w:t>个百分点相应扣减权重值的</w:t>
            </w:r>
            <w:r>
              <w:rPr>
                <w:rFonts w:ascii="Times New Roman" w:eastAsia="楷体_GB2312" w:hAnsi="Times New Roman"/>
                <w:color w:val="000000"/>
                <w:kern w:val="0"/>
                <w:szCs w:val="21"/>
              </w:rPr>
              <w:t>5%</w:t>
            </w:r>
            <w:r>
              <w:rPr>
                <w:rFonts w:ascii="Times New Roman" w:eastAsia="楷体_GB2312" w:hAnsi="Times New Roman"/>
                <w:color w:val="000000"/>
                <w:kern w:val="0"/>
                <w:szCs w:val="21"/>
              </w:rPr>
              <w:t>；某项指标无法提供具体数值，且无说明，得</w:t>
            </w:r>
            <w:r>
              <w:rPr>
                <w:rFonts w:ascii="Times New Roman" w:eastAsia="楷体_GB2312" w:hAnsi="Times New Roman"/>
                <w:color w:val="000000"/>
                <w:kern w:val="0"/>
                <w:szCs w:val="21"/>
              </w:rPr>
              <w:t>0</w:t>
            </w:r>
            <w:r>
              <w:rPr>
                <w:rFonts w:ascii="Times New Roman" w:eastAsia="楷体_GB2312" w:hAnsi="Times New Roman"/>
                <w:color w:val="000000"/>
                <w:kern w:val="0"/>
                <w:szCs w:val="21"/>
              </w:rPr>
              <w:t>分。</w:t>
            </w:r>
          </w:p>
        </w:tc>
      </w:tr>
      <w:tr w:rsidR="002E5698">
        <w:trPr>
          <w:trHeight w:val="450"/>
        </w:trPr>
        <w:tc>
          <w:tcPr>
            <w:tcW w:w="8733"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2E5698" w:rsidRDefault="0066339B">
            <w:pPr>
              <w:jc w:val="center"/>
              <w:rPr>
                <w:rFonts w:ascii="Times New Roman" w:hAnsi="Times New Roman"/>
                <w:b/>
                <w:bCs/>
                <w:color w:val="000000"/>
                <w:sz w:val="36"/>
                <w:szCs w:val="36"/>
              </w:rPr>
            </w:pPr>
            <w:r>
              <w:rPr>
                <w:rFonts w:ascii="Times New Roman" w:hAnsi="Times New Roman"/>
                <w:b/>
                <w:bCs/>
                <w:color w:val="000000"/>
                <w:sz w:val="36"/>
                <w:szCs w:val="36"/>
              </w:rPr>
              <w:t>项目基本情况</w:t>
            </w:r>
          </w:p>
        </w:tc>
      </w:tr>
      <w:tr w:rsidR="002E5698">
        <w:trPr>
          <w:trHeight w:val="2294"/>
        </w:trPr>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2E5698" w:rsidRDefault="0066339B">
            <w:pPr>
              <w:jc w:val="left"/>
              <w:rPr>
                <w:rFonts w:ascii="Times New Roman" w:hAnsi="Times New Roman"/>
                <w:color w:val="000000"/>
                <w:sz w:val="22"/>
              </w:rPr>
            </w:pPr>
            <w:r>
              <w:rPr>
                <w:rFonts w:ascii="Times New Roman" w:hAnsi="Times New Roman"/>
                <w:color w:val="000000"/>
                <w:sz w:val="22"/>
              </w:rPr>
              <w:t>项目概况</w:t>
            </w:r>
          </w:p>
        </w:tc>
        <w:tc>
          <w:tcPr>
            <w:tcW w:w="7186"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left"/>
              <w:rPr>
                <w:rFonts w:ascii="Times New Roman" w:hAnsi="Times New Roman"/>
                <w:color w:val="000000"/>
                <w:sz w:val="22"/>
              </w:rPr>
            </w:pPr>
            <w:r>
              <w:rPr>
                <w:rFonts w:ascii="Times New Roman" w:hAnsi="Times New Roman"/>
                <w:color w:val="000000"/>
                <w:sz w:val="22"/>
              </w:rPr>
              <w:t>随着单位档案数量的不断增加和档案管理要求的日益提高，传统的档案管理方式已经难以满足日益增长的档案管理需求。为进一步加强文件资料管理和档案管理工作，切实管理好、利用好档案资源，更好的为日常工作服务，需委托档案管理服务公司为我委档案进行整理归档。委托专业人员对已经完成收集的文书档案进行分类及保管期限的鉴定，在所有的分类及保管期限的鉴定完成后，进入到整理与数字化阶段；在文书档案的整理与数字化阶段完成后，根据分类方案对业务档案、实物档案、照片档案进行整理与数字化工作。</w:t>
            </w:r>
          </w:p>
        </w:tc>
      </w:tr>
      <w:tr w:rsidR="002E5698">
        <w:trPr>
          <w:trHeight w:val="465"/>
        </w:trPr>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2E5698" w:rsidRDefault="0066339B">
            <w:pPr>
              <w:jc w:val="left"/>
              <w:rPr>
                <w:rFonts w:ascii="Times New Roman" w:hAnsi="Times New Roman"/>
                <w:color w:val="000000"/>
                <w:sz w:val="22"/>
              </w:rPr>
            </w:pPr>
            <w:r>
              <w:rPr>
                <w:rFonts w:ascii="Times New Roman" w:hAnsi="Times New Roman"/>
                <w:color w:val="000000"/>
                <w:sz w:val="22"/>
              </w:rPr>
              <w:t>项目总目标</w:t>
            </w:r>
          </w:p>
        </w:tc>
        <w:tc>
          <w:tcPr>
            <w:tcW w:w="7186"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left"/>
              <w:rPr>
                <w:rFonts w:ascii="Times New Roman" w:hAnsi="Times New Roman"/>
                <w:color w:val="000000"/>
                <w:sz w:val="22"/>
              </w:rPr>
            </w:pPr>
            <w:r>
              <w:rPr>
                <w:rFonts w:ascii="Times New Roman" w:hAnsi="Times New Roman"/>
                <w:color w:val="000000"/>
                <w:sz w:val="22"/>
              </w:rPr>
              <w:t>为提升档案工作科学化正规化水平，</w:t>
            </w:r>
            <w:r>
              <w:rPr>
                <w:rFonts w:ascii="Times New Roman" w:hAnsi="Times New Roman"/>
                <w:color w:val="000000"/>
                <w:sz w:val="22"/>
              </w:rPr>
              <w:t>确保档案管理分类分层、有序有效。</w:t>
            </w:r>
          </w:p>
        </w:tc>
      </w:tr>
      <w:tr w:rsidR="002E5698">
        <w:trPr>
          <w:trHeight w:val="720"/>
        </w:trPr>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2E5698" w:rsidRDefault="0066339B">
            <w:pPr>
              <w:jc w:val="left"/>
              <w:rPr>
                <w:rFonts w:ascii="Times New Roman" w:hAnsi="Times New Roman"/>
                <w:color w:val="000000"/>
                <w:sz w:val="22"/>
              </w:rPr>
            </w:pPr>
            <w:r>
              <w:rPr>
                <w:rFonts w:ascii="Times New Roman" w:hAnsi="Times New Roman"/>
                <w:color w:val="000000"/>
                <w:sz w:val="22"/>
              </w:rPr>
              <w:t>年度绩效目标</w:t>
            </w:r>
          </w:p>
        </w:tc>
        <w:tc>
          <w:tcPr>
            <w:tcW w:w="7186"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left"/>
              <w:rPr>
                <w:rFonts w:ascii="Times New Roman" w:hAnsi="Times New Roman"/>
                <w:color w:val="000000"/>
                <w:sz w:val="22"/>
              </w:rPr>
            </w:pPr>
            <w:r>
              <w:rPr>
                <w:rFonts w:ascii="Times New Roman" w:hAnsi="Times New Roman"/>
                <w:color w:val="000000"/>
                <w:sz w:val="22"/>
              </w:rPr>
              <w:t>为进一步加强文件资料管理和档案管理工作，切实管理好、利用好档案资源，更好的为日常工作服务。</w:t>
            </w:r>
          </w:p>
        </w:tc>
      </w:tr>
      <w:tr w:rsidR="002E5698">
        <w:trPr>
          <w:trHeight w:val="1304"/>
        </w:trPr>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2E5698" w:rsidRDefault="0066339B">
            <w:pPr>
              <w:jc w:val="left"/>
              <w:rPr>
                <w:rFonts w:ascii="Times New Roman" w:hAnsi="Times New Roman"/>
                <w:color w:val="000000"/>
                <w:sz w:val="22"/>
              </w:rPr>
            </w:pPr>
            <w:r>
              <w:rPr>
                <w:rFonts w:ascii="Times New Roman" w:hAnsi="Times New Roman"/>
                <w:color w:val="000000"/>
                <w:sz w:val="22"/>
              </w:rPr>
              <w:t>项目实施情况</w:t>
            </w:r>
          </w:p>
        </w:tc>
        <w:tc>
          <w:tcPr>
            <w:tcW w:w="7186"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left"/>
              <w:rPr>
                <w:rFonts w:ascii="Times New Roman" w:hAnsi="Times New Roman"/>
                <w:color w:val="000000"/>
                <w:sz w:val="22"/>
              </w:rPr>
            </w:pPr>
            <w:r>
              <w:rPr>
                <w:rFonts w:ascii="Times New Roman" w:hAnsi="Times New Roman"/>
                <w:color w:val="000000"/>
                <w:sz w:val="22"/>
              </w:rPr>
              <w:t>第一阶段，委托第三方公司派出专业人员对已经完成收集的文书、会计档案、业务档案，进行分类及保管期限的鉴定；第二阶段，在所有分类及保管期限的鉴定完成后，整个项目进入到整理与数字化阶段；第三方人员根据分类方案对业务档案、文书档案、会计档案等进行整理与数字化工作。</w:t>
            </w:r>
          </w:p>
        </w:tc>
      </w:tr>
      <w:tr w:rsidR="002E5698">
        <w:trPr>
          <w:trHeight w:val="1155"/>
        </w:trPr>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2E5698" w:rsidRDefault="0066339B">
            <w:pPr>
              <w:jc w:val="left"/>
              <w:rPr>
                <w:rFonts w:ascii="Times New Roman" w:hAnsi="Times New Roman"/>
                <w:color w:val="000000"/>
                <w:sz w:val="22"/>
              </w:rPr>
            </w:pPr>
            <w:r>
              <w:rPr>
                <w:rFonts w:ascii="Times New Roman" w:hAnsi="Times New Roman"/>
                <w:color w:val="000000"/>
                <w:sz w:val="22"/>
              </w:rPr>
              <w:t>项目管理成效</w:t>
            </w:r>
          </w:p>
        </w:tc>
        <w:tc>
          <w:tcPr>
            <w:tcW w:w="7186"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left"/>
              <w:rPr>
                <w:rFonts w:ascii="Times New Roman" w:hAnsi="Times New Roman"/>
                <w:color w:val="000000"/>
                <w:sz w:val="22"/>
              </w:rPr>
            </w:pPr>
            <w:r>
              <w:rPr>
                <w:rFonts w:ascii="Times New Roman" w:hAnsi="Times New Roman"/>
                <w:color w:val="000000"/>
                <w:sz w:val="22"/>
              </w:rPr>
              <w:t>档案整理完成后，类目分明、查档便利，提高了工作效率；采用档案专用装具，利于档案的长久保存。对截止到</w:t>
            </w:r>
            <w:r>
              <w:rPr>
                <w:rFonts w:ascii="Times New Roman" w:hAnsi="Times New Roman"/>
                <w:color w:val="000000"/>
                <w:sz w:val="22"/>
              </w:rPr>
              <w:t>2024</w:t>
            </w:r>
            <w:r>
              <w:rPr>
                <w:rFonts w:ascii="Times New Roman" w:hAnsi="Times New Roman"/>
                <w:color w:val="000000"/>
                <w:sz w:val="22"/>
              </w:rPr>
              <w:t>年各门类载体的档案集中进行了整理与数字化工作，并且将整理完成后的档案按照档案类型有序的入库上架，进行集中统一保管。</w:t>
            </w:r>
          </w:p>
        </w:tc>
      </w:tr>
      <w:tr w:rsidR="002E5698">
        <w:trPr>
          <w:trHeight w:val="1019"/>
        </w:trPr>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2E5698" w:rsidRDefault="0066339B">
            <w:pPr>
              <w:jc w:val="left"/>
              <w:rPr>
                <w:rFonts w:ascii="Times New Roman" w:hAnsi="Times New Roman"/>
                <w:color w:val="000000"/>
                <w:sz w:val="22"/>
              </w:rPr>
            </w:pPr>
            <w:r>
              <w:rPr>
                <w:rFonts w:ascii="Times New Roman" w:hAnsi="Times New Roman"/>
                <w:color w:val="000000"/>
                <w:sz w:val="22"/>
              </w:rPr>
              <w:t>项目管理存在的问题及原因</w:t>
            </w:r>
          </w:p>
        </w:tc>
        <w:tc>
          <w:tcPr>
            <w:tcW w:w="7186"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left"/>
              <w:rPr>
                <w:rFonts w:ascii="Times New Roman" w:hAnsi="Times New Roman"/>
                <w:color w:val="000000"/>
                <w:sz w:val="22"/>
              </w:rPr>
            </w:pPr>
            <w:r>
              <w:rPr>
                <w:rFonts w:ascii="Times New Roman" w:hAnsi="Times New Roman"/>
                <w:color w:val="000000"/>
                <w:sz w:val="22"/>
              </w:rPr>
              <w:t>档案管理工作力度不够，有时存在未及时归档现象，容易导致遗漏；对于当年产生的文件，各处室在完成对其的使用后，有时未能及时按时间顺序排列好；档案管理人员缺乏系统培训，部分依赖人工查询，导致查询困难。</w:t>
            </w:r>
          </w:p>
        </w:tc>
      </w:tr>
      <w:tr w:rsidR="002E5698">
        <w:trPr>
          <w:trHeight w:val="1054"/>
        </w:trPr>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2E5698" w:rsidRDefault="0066339B">
            <w:pPr>
              <w:jc w:val="left"/>
              <w:rPr>
                <w:rFonts w:ascii="Times New Roman" w:hAnsi="Times New Roman"/>
                <w:color w:val="000000"/>
                <w:sz w:val="22"/>
              </w:rPr>
            </w:pPr>
            <w:r>
              <w:rPr>
                <w:rFonts w:ascii="Times New Roman" w:hAnsi="Times New Roman"/>
                <w:color w:val="000000"/>
                <w:sz w:val="22"/>
              </w:rPr>
              <w:t>进一步加强项目管理的建议</w:t>
            </w:r>
          </w:p>
        </w:tc>
        <w:tc>
          <w:tcPr>
            <w:tcW w:w="7186"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2E5698" w:rsidRDefault="0066339B">
            <w:pPr>
              <w:jc w:val="left"/>
              <w:rPr>
                <w:rFonts w:ascii="Times New Roman" w:hAnsi="Times New Roman"/>
                <w:color w:val="000000"/>
                <w:sz w:val="22"/>
              </w:rPr>
            </w:pPr>
            <w:r>
              <w:rPr>
                <w:rFonts w:ascii="Times New Roman" w:hAnsi="Times New Roman"/>
                <w:color w:val="000000"/>
                <w:sz w:val="22"/>
              </w:rPr>
              <w:t>第一进一步做好档案整理保密工作相关要求；第二在档案整理期间，专业设备及时到达现场，对每日档案整理工作情况及时反馈；第三加强对档案整理人员进行定期培训，提升档案管理人员的专业能力。</w:t>
            </w:r>
          </w:p>
        </w:tc>
      </w:tr>
      <w:tr w:rsidR="002E5698">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rsidR="002E5698" w:rsidRDefault="002E5698">
            <w:pPr>
              <w:jc w:val="left"/>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rsidR="002E5698" w:rsidRDefault="002E5698">
            <w:pPr>
              <w:jc w:val="left"/>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2E5698" w:rsidRDefault="002E5698">
            <w:pPr>
              <w:jc w:val="left"/>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2E5698" w:rsidRDefault="002E5698">
            <w:pPr>
              <w:jc w:val="left"/>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2E5698" w:rsidRDefault="002E5698">
            <w:pPr>
              <w:jc w:val="left"/>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2E5698" w:rsidRDefault="002E5698">
            <w:pPr>
              <w:jc w:val="left"/>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2E5698" w:rsidRDefault="002E5698">
            <w:pPr>
              <w:jc w:val="left"/>
              <w:rPr>
                <w:rFonts w:ascii="Arial" w:hAnsi="Arial" w:cs="Arial"/>
                <w:vanish/>
                <w:sz w:val="20"/>
                <w:szCs w:val="20"/>
              </w:rPr>
            </w:pPr>
          </w:p>
        </w:tc>
        <w:tc>
          <w:tcPr>
            <w:tcW w:w="1546" w:type="dxa"/>
            <w:tcBorders>
              <w:top w:val="nil"/>
              <w:left w:val="nil"/>
              <w:bottom w:val="nil"/>
              <w:right w:val="nil"/>
            </w:tcBorders>
            <w:shd w:val="clear" w:color="auto" w:fill="auto"/>
            <w:noWrap/>
            <w:tcMar>
              <w:top w:w="15" w:type="dxa"/>
              <w:left w:w="15" w:type="dxa"/>
              <w:bottom w:w="0" w:type="dxa"/>
              <w:right w:w="15" w:type="dxa"/>
            </w:tcMar>
            <w:vAlign w:val="bottom"/>
          </w:tcPr>
          <w:p w:rsidR="002E5698" w:rsidRDefault="002E5698">
            <w:pPr>
              <w:jc w:val="left"/>
              <w:rPr>
                <w:rFonts w:ascii="Arial" w:hAnsi="Arial" w:cs="Arial"/>
                <w:vanish/>
                <w:sz w:val="20"/>
                <w:szCs w:val="20"/>
              </w:rPr>
            </w:pPr>
          </w:p>
        </w:tc>
      </w:tr>
    </w:tbl>
    <w:p w:rsidR="002E5698" w:rsidRDefault="002E5698">
      <w:pPr>
        <w:jc w:val="left"/>
      </w:pPr>
    </w:p>
    <w:p w:rsidR="002E5698" w:rsidRDefault="002E5698"/>
    <w:sectPr w:rsidR="002E5698" w:rsidSect="002E5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39B" w:rsidRDefault="0066339B" w:rsidP="0066339B">
      <w:r>
        <w:separator/>
      </w:r>
    </w:p>
  </w:endnote>
  <w:endnote w:type="continuationSeparator" w:id="1">
    <w:p w:rsidR="0066339B" w:rsidRDefault="0066339B" w:rsidP="0066339B">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39B" w:rsidRDefault="0066339B" w:rsidP="0066339B">
      <w:r>
        <w:separator/>
      </w:r>
    </w:p>
  </w:footnote>
  <w:footnote w:type="continuationSeparator" w:id="1">
    <w:p w:rsidR="0066339B" w:rsidRDefault="0066339B" w:rsidP="006633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7DAE"/>
    <w:rsid w:val="000227CC"/>
    <w:rsid w:val="00027583"/>
    <w:rsid w:val="0005797A"/>
    <w:rsid w:val="000A753F"/>
    <w:rsid w:val="000D6913"/>
    <w:rsid w:val="00135BA0"/>
    <w:rsid w:val="00146D27"/>
    <w:rsid w:val="00154572"/>
    <w:rsid w:val="001650C6"/>
    <w:rsid w:val="001865A9"/>
    <w:rsid w:val="001A45C6"/>
    <w:rsid w:val="00210D2C"/>
    <w:rsid w:val="0027417E"/>
    <w:rsid w:val="00277E96"/>
    <w:rsid w:val="00295EA9"/>
    <w:rsid w:val="002E5698"/>
    <w:rsid w:val="002F132B"/>
    <w:rsid w:val="00320B72"/>
    <w:rsid w:val="003309F6"/>
    <w:rsid w:val="003311D3"/>
    <w:rsid w:val="00371193"/>
    <w:rsid w:val="003D5254"/>
    <w:rsid w:val="00421DBC"/>
    <w:rsid w:val="00422096"/>
    <w:rsid w:val="00444045"/>
    <w:rsid w:val="00465368"/>
    <w:rsid w:val="00477DDF"/>
    <w:rsid w:val="00507C7E"/>
    <w:rsid w:val="005365FF"/>
    <w:rsid w:val="005530C8"/>
    <w:rsid w:val="005A4855"/>
    <w:rsid w:val="005B3C15"/>
    <w:rsid w:val="00610E39"/>
    <w:rsid w:val="0063349A"/>
    <w:rsid w:val="0063730A"/>
    <w:rsid w:val="00655009"/>
    <w:rsid w:val="0066339B"/>
    <w:rsid w:val="00687228"/>
    <w:rsid w:val="006B065A"/>
    <w:rsid w:val="006B6173"/>
    <w:rsid w:val="006E5E74"/>
    <w:rsid w:val="00740A71"/>
    <w:rsid w:val="007471FF"/>
    <w:rsid w:val="007615B8"/>
    <w:rsid w:val="007615EF"/>
    <w:rsid w:val="0077550F"/>
    <w:rsid w:val="007905BA"/>
    <w:rsid w:val="007D410D"/>
    <w:rsid w:val="007E2F8B"/>
    <w:rsid w:val="00857DAE"/>
    <w:rsid w:val="008B69AC"/>
    <w:rsid w:val="0099571D"/>
    <w:rsid w:val="009B2F6A"/>
    <w:rsid w:val="009D2066"/>
    <w:rsid w:val="009D57D9"/>
    <w:rsid w:val="00A566D2"/>
    <w:rsid w:val="00A63BDD"/>
    <w:rsid w:val="00A8579E"/>
    <w:rsid w:val="00A919F2"/>
    <w:rsid w:val="00A970CD"/>
    <w:rsid w:val="00AB1312"/>
    <w:rsid w:val="00AB15D9"/>
    <w:rsid w:val="00AE42C0"/>
    <w:rsid w:val="00B10E19"/>
    <w:rsid w:val="00B15E35"/>
    <w:rsid w:val="00B6380C"/>
    <w:rsid w:val="00B869C7"/>
    <w:rsid w:val="00B948BC"/>
    <w:rsid w:val="00BE0B02"/>
    <w:rsid w:val="00BF549A"/>
    <w:rsid w:val="00C10620"/>
    <w:rsid w:val="00C37A85"/>
    <w:rsid w:val="00C87E85"/>
    <w:rsid w:val="00C9508A"/>
    <w:rsid w:val="00CD2CA9"/>
    <w:rsid w:val="00CE3F84"/>
    <w:rsid w:val="00CE6115"/>
    <w:rsid w:val="00CF3DEA"/>
    <w:rsid w:val="00D159A7"/>
    <w:rsid w:val="00D74E9C"/>
    <w:rsid w:val="00DC3C89"/>
    <w:rsid w:val="00DF4CEA"/>
    <w:rsid w:val="00E2688E"/>
    <w:rsid w:val="00E504B2"/>
    <w:rsid w:val="00E632B8"/>
    <w:rsid w:val="00E86A5D"/>
    <w:rsid w:val="00E9615F"/>
    <w:rsid w:val="00EA1C55"/>
    <w:rsid w:val="00EA7D5C"/>
    <w:rsid w:val="00EC507F"/>
    <w:rsid w:val="00F051B3"/>
    <w:rsid w:val="00F66D21"/>
    <w:rsid w:val="00F74F9B"/>
    <w:rsid w:val="00FD578E"/>
    <w:rsid w:val="08D55BA8"/>
    <w:rsid w:val="08E93488"/>
    <w:rsid w:val="5AE70A1F"/>
    <w:rsid w:val="651F1D34"/>
    <w:rsid w:val="70126D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698"/>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semiHidden/>
    <w:unhideWhenUsed/>
    <w:qFormat/>
    <w:rsid w:val="002E569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E569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E56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2E5698"/>
    <w:rPr>
      <w:sz w:val="18"/>
      <w:szCs w:val="18"/>
    </w:rPr>
  </w:style>
  <w:style w:type="character" w:customStyle="1" w:styleId="Char">
    <w:name w:val="页脚 Char"/>
    <w:basedOn w:val="a0"/>
    <w:link w:val="a3"/>
    <w:uiPriority w:val="99"/>
    <w:qFormat/>
    <w:rsid w:val="002E5698"/>
    <w:rPr>
      <w:sz w:val="18"/>
      <w:szCs w:val="18"/>
    </w:rPr>
  </w:style>
  <w:style w:type="character" w:customStyle="1" w:styleId="4Char">
    <w:name w:val="闻政标题4 Char"/>
    <w:link w:val="4"/>
    <w:qFormat/>
    <w:locked/>
    <w:rsid w:val="002E5698"/>
    <w:rPr>
      <w:rFonts w:ascii="仿宋_GB2312" w:eastAsia="仿宋_GB2312"/>
      <w:b/>
      <w:bCs/>
      <w:sz w:val="28"/>
      <w:szCs w:val="32"/>
    </w:rPr>
  </w:style>
  <w:style w:type="paragraph" w:customStyle="1" w:styleId="4">
    <w:name w:val="闻政标题4"/>
    <w:basedOn w:val="2"/>
    <w:link w:val="4Char"/>
    <w:qFormat/>
    <w:rsid w:val="002E5698"/>
    <w:pPr>
      <w:spacing w:before="120" w:after="60" w:line="500" w:lineRule="exact"/>
      <w:ind w:firstLineChars="200" w:firstLine="200"/>
      <w:jc w:val="left"/>
    </w:pPr>
    <w:rPr>
      <w:rFonts w:ascii="仿宋_GB2312" w:eastAsia="仿宋_GB2312" w:hAnsiTheme="minorHAnsi" w:cstheme="minorBidi"/>
      <w:sz w:val="28"/>
    </w:rPr>
  </w:style>
  <w:style w:type="character" w:customStyle="1" w:styleId="2Char">
    <w:name w:val="标题 2 Char"/>
    <w:basedOn w:val="a0"/>
    <w:link w:val="2"/>
    <w:uiPriority w:val="9"/>
    <w:semiHidden/>
    <w:qFormat/>
    <w:rsid w:val="002E5698"/>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337</Words>
  <Characters>1923</Characters>
  <Application>Microsoft Office Word</Application>
  <DocSecurity>0</DocSecurity>
  <Lines>16</Lines>
  <Paragraphs>4</Paragraphs>
  <ScaleCrop>false</ScaleCrop>
  <Company>P R C</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 王</dc:creator>
  <cp:lastModifiedBy>Windows User</cp:lastModifiedBy>
  <cp:revision>54</cp:revision>
  <dcterms:created xsi:type="dcterms:W3CDTF">2022-01-12T10:53:00Z</dcterms:created>
  <dcterms:modified xsi:type="dcterms:W3CDTF">2025-10-09T02:19:00Z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eyJoZGlkIjoiOTY2MDQ4ZmQ3ZjNmNmYyNjY2NjI3MTg1NDlmYmFhZjYiLCJ1c2VySWQiOiI2MjczMzY3NDIifQ==</vt:lpwstr>
  </property>
  <property fmtid="{D5CDD505-2E9C-101B-9397-08002B2CF9AE}" pid="3" name="KSOProductBuildVer">
    <vt:lpwstr>2052-12.1.0.22529</vt:lpwstr>
  </property>
  <property fmtid="{D5CDD505-2E9C-101B-9397-08002B2CF9AE}" pid="4" name="ICV">
    <vt:lpwstr>9F669C4FED13413589140FF1E65A5D7A_12</vt:lpwstr>
  </property>
</Properties>
</file>