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61" w:rsidRDefault="00903061"/>
    <w:tbl>
      <w:tblPr>
        <w:tblW w:w="8933" w:type="dxa"/>
        <w:tblInd w:w="-142" w:type="dxa"/>
        <w:tblLayout w:type="fixed"/>
        <w:tblCellMar>
          <w:left w:w="0" w:type="dxa"/>
          <w:right w:w="0" w:type="dxa"/>
        </w:tblCellMar>
        <w:tblLook w:val="04A0"/>
      </w:tblPr>
      <w:tblGrid>
        <w:gridCol w:w="1049"/>
        <w:gridCol w:w="167"/>
        <w:gridCol w:w="1155"/>
        <w:gridCol w:w="682"/>
        <w:gridCol w:w="600"/>
        <w:gridCol w:w="1458"/>
        <w:gridCol w:w="859"/>
        <w:gridCol w:w="777"/>
        <w:gridCol w:w="346"/>
        <w:gridCol w:w="880"/>
        <w:gridCol w:w="960"/>
      </w:tblGrid>
      <w:tr w:rsidR="00903061">
        <w:trPr>
          <w:trHeight w:val="593"/>
        </w:trPr>
        <w:tc>
          <w:tcPr>
            <w:tcW w:w="8933" w:type="dxa"/>
            <w:gridSpan w:val="11"/>
            <w:tcBorders>
              <w:top w:val="nil"/>
              <w:left w:val="nil"/>
              <w:bottom w:val="single" w:sz="4" w:space="0" w:color="auto"/>
              <w:right w:val="nil"/>
            </w:tcBorders>
            <w:shd w:val="clear" w:color="auto" w:fill="auto"/>
            <w:noWrap/>
            <w:tcMar>
              <w:top w:w="15" w:type="dxa"/>
              <w:left w:w="15" w:type="dxa"/>
              <w:bottom w:w="0" w:type="dxa"/>
              <w:right w:w="15" w:type="dxa"/>
            </w:tcMar>
          </w:tcPr>
          <w:p w:rsidR="00903061" w:rsidRDefault="00AC180B">
            <w:pPr>
              <w:jc w:val="center"/>
              <w:rPr>
                <w:rFonts w:cs="Arial"/>
                <w:b/>
                <w:bCs/>
                <w:color w:val="000000"/>
                <w:sz w:val="40"/>
                <w:szCs w:val="40"/>
              </w:rPr>
            </w:pPr>
            <w:r>
              <w:rPr>
                <w:rFonts w:cs="Arial" w:hint="eastAsia"/>
                <w:b/>
                <w:bCs/>
                <w:color w:val="000000"/>
                <w:sz w:val="40"/>
                <w:szCs w:val="40"/>
              </w:rPr>
              <w:t>苏州市级财政支出项目绩效自评价报告</w:t>
            </w:r>
          </w:p>
        </w:tc>
      </w:tr>
      <w:tr w:rsidR="00903061">
        <w:trPr>
          <w:trHeight w:val="472"/>
        </w:trPr>
        <w:tc>
          <w:tcPr>
            <w:tcW w:w="8933"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b/>
                <w:bCs/>
                <w:color w:val="000000"/>
                <w:sz w:val="36"/>
                <w:szCs w:val="36"/>
              </w:rPr>
            </w:pPr>
            <w:r>
              <w:rPr>
                <w:rFonts w:ascii="Times New Roman" w:hAnsi="Times New Roman"/>
                <w:b/>
                <w:bCs/>
                <w:color w:val="000000"/>
                <w:sz w:val="36"/>
                <w:szCs w:val="36"/>
              </w:rPr>
              <w:t>苏州市级财政支出项目绩效自评表</w:t>
            </w:r>
          </w:p>
        </w:tc>
      </w:tr>
      <w:tr w:rsidR="00903061">
        <w:trPr>
          <w:trHeight w:val="477"/>
        </w:trPr>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项目名称</w:t>
            </w:r>
          </w:p>
        </w:tc>
        <w:tc>
          <w:tcPr>
            <w:tcW w:w="3600"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党建系列活动</w:t>
            </w:r>
          </w:p>
        </w:tc>
        <w:tc>
          <w:tcPr>
            <w:tcW w:w="1118"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项目年份</w:t>
            </w:r>
          </w:p>
        </w:tc>
        <w:tc>
          <w:tcPr>
            <w:tcW w:w="18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202</w:t>
            </w:r>
            <w:r>
              <w:rPr>
                <w:rFonts w:ascii="Times New Roman" w:hAnsi="Times New Roman"/>
                <w:sz w:val="22"/>
              </w:rPr>
              <w:t>4</w:t>
            </w:r>
          </w:p>
        </w:tc>
      </w:tr>
      <w:tr w:rsidR="00903061">
        <w:trPr>
          <w:trHeight w:val="512"/>
        </w:trPr>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项目主管部门</w:t>
            </w:r>
            <w:r>
              <w:rPr>
                <w:rFonts w:ascii="Times New Roman" w:hAnsi="Times New Roman"/>
                <w:color w:val="000000"/>
                <w:sz w:val="22"/>
              </w:rPr>
              <w:t>(</w:t>
            </w:r>
            <w:r>
              <w:rPr>
                <w:rFonts w:ascii="Times New Roman" w:hAnsi="Times New Roman"/>
                <w:color w:val="000000"/>
                <w:sz w:val="22"/>
              </w:rPr>
              <w:t>单位</w:t>
            </w:r>
            <w:r>
              <w:rPr>
                <w:rFonts w:ascii="Times New Roman" w:hAnsi="Times New Roman"/>
                <w:color w:val="000000"/>
                <w:sz w:val="22"/>
              </w:rPr>
              <w:t>)</w:t>
            </w:r>
          </w:p>
        </w:tc>
        <w:tc>
          <w:tcPr>
            <w:tcW w:w="6559" w:type="dxa"/>
            <w:gridSpan w:val="8"/>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中国共产党苏州市委员会市级机关工作委员会</w:t>
            </w:r>
          </w:p>
        </w:tc>
      </w:tr>
      <w:tr w:rsidR="00903061" w:rsidTr="00105384">
        <w:trPr>
          <w:trHeight w:val="535"/>
        </w:trPr>
        <w:tc>
          <w:tcPr>
            <w:tcW w:w="105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市级预算执行情况（万元）</w:t>
            </w:r>
          </w:p>
        </w:tc>
        <w:tc>
          <w:tcPr>
            <w:tcW w:w="132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年初预算数</w:t>
            </w:r>
          </w:p>
        </w:tc>
        <w:tc>
          <w:tcPr>
            <w:tcW w:w="2741"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Pr="00105384" w:rsidRDefault="00AC180B">
            <w:pPr>
              <w:overflowPunct w:val="0"/>
              <w:adjustRightInd w:val="0"/>
              <w:snapToGrid w:val="0"/>
              <w:jc w:val="center"/>
              <w:rPr>
                <w:rFonts w:ascii="Times New Roman" w:hAnsi="Times New Roman"/>
                <w:color w:val="000000"/>
                <w:sz w:val="22"/>
              </w:rPr>
            </w:pPr>
            <w:r w:rsidRPr="00105384">
              <w:rPr>
                <w:rFonts w:ascii="Times New Roman" w:hAnsi="Times New Roman"/>
                <w:color w:val="000000"/>
                <w:sz w:val="22"/>
              </w:rPr>
              <w:t>当年使用上年结余、</w:t>
            </w:r>
          </w:p>
          <w:p w:rsidR="00903061" w:rsidRDefault="00AC180B">
            <w:pPr>
              <w:jc w:val="center"/>
              <w:rPr>
                <w:rFonts w:ascii="Times New Roman" w:hAnsi="Times New Roman"/>
                <w:color w:val="000000"/>
                <w:sz w:val="22"/>
              </w:rPr>
            </w:pPr>
            <w:r w:rsidRPr="00105384">
              <w:rPr>
                <w:rFonts w:ascii="Times New Roman" w:hAnsi="Times New Roman"/>
                <w:color w:val="000000"/>
                <w:sz w:val="22"/>
              </w:rPr>
              <w:t>结转及当年预算</w:t>
            </w:r>
            <w:r w:rsidRPr="00105384">
              <w:rPr>
                <w:rFonts w:ascii="Times New Roman" w:hAnsi="Times New Roman"/>
                <w:color w:val="000000"/>
                <w:sz w:val="22"/>
              </w:rPr>
              <w:t>追加追减数</w:t>
            </w:r>
          </w:p>
        </w:tc>
        <w:tc>
          <w:tcPr>
            <w:tcW w:w="85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财政拨款数</w:t>
            </w:r>
          </w:p>
        </w:tc>
        <w:tc>
          <w:tcPr>
            <w:tcW w:w="1123" w:type="dxa"/>
            <w:gridSpan w:val="2"/>
            <w:tcBorders>
              <w:top w:val="single" w:sz="4" w:space="0" w:color="000000"/>
              <w:left w:val="nil"/>
              <w:bottom w:val="single" w:sz="4" w:space="0" w:color="000000"/>
              <w:right w:val="single" w:sz="4" w:space="0" w:color="000000"/>
            </w:tcBorders>
            <w:shd w:val="clear" w:color="auto" w:fill="auto"/>
            <w:vAlign w:val="center"/>
          </w:tcPr>
          <w:p w:rsidR="00903061" w:rsidRDefault="00AC180B">
            <w:pPr>
              <w:jc w:val="center"/>
              <w:rPr>
                <w:rFonts w:ascii="Times New Roman" w:hAnsi="Times New Roman"/>
                <w:color w:val="000000"/>
                <w:sz w:val="22"/>
              </w:rPr>
            </w:pPr>
            <w:r>
              <w:rPr>
                <w:rFonts w:ascii="Times New Roman" w:hAnsi="Times New Roman"/>
                <w:color w:val="000000"/>
                <w:sz w:val="22"/>
              </w:rPr>
              <w:t>指标结余数</w:t>
            </w:r>
          </w:p>
        </w:tc>
        <w:tc>
          <w:tcPr>
            <w:tcW w:w="18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指标结余收回数</w:t>
            </w:r>
          </w:p>
        </w:tc>
      </w:tr>
      <w:tr w:rsidR="00903061" w:rsidTr="00105384">
        <w:trPr>
          <w:trHeight w:val="441"/>
        </w:trPr>
        <w:tc>
          <w:tcPr>
            <w:tcW w:w="1051" w:type="dxa"/>
            <w:vMerge/>
            <w:tcBorders>
              <w:top w:val="nil"/>
              <w:left w:val="single" w:sz="4" w:space="0" w:color="000000"/>
              <w:bottom w:val="single" w:sz="4" w:space="0" w:color="000000"/>
              <w:right w:val="single" w:sz="4" w:space="0" w:color="000000"/>
            </w:tcBorders>
            <w:vAlign w:val="center"/>
          </w:tcPr>
          <w:p w:rsidR="00903061" w:rsidRDefault="00903061">
            <w:pPr>
              <w:rPr>
                <w:rFonts w:ascii="Times New Roman" w:hAnsi="Times New Roman"/>
                <w:color w:val="000000"/>
                <w:sz w:val="22"/>
              </w:rPr>
            </w:pPr>
          </w:p>
        </w:tc>
        <w:tc>
          <w:tcPr>
            <w:tcW w:w="132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35.7</w:t>
            </w:r>
          </w:p>
        </w:tc>
        <w:tc>
          <w:tcPr>
            <w:tcW w:w="2741" w:type="dxa"/>
            <w:gridSpan w:val="3"/>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-6.5</w:t>
            </w:r>
          </w:p>
        </w:tc>
        <w:tc>
          <w:tcPr>
            <w:tcW w:w="854"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29.2</w:t>
            </w:r>
          </w:p>
        </w:tc>
        <w:tc>
          <w:tcPr>
            <w:tcW w:w="1123" w:type="dxa"/>
            <w:gridSpan w:val="2"/>
            <w:tcBorders>
              <w:top w:val="single" w:sz="4" w:space="0" w:color="000000"/>
              <w:left w:val="nil"/>
              <w:bottom w:val="single" w:sz="4" w:space="0" w:color="000000"/>
              <w:right w:val="single" w:sz="4" w:space="0" w:color="000000"/>
            </w:tcBorders>
            <w:shd w:val="clear" w:color="auto" w:fill="auto"/>
            <w:vAlign w:val="center"/>
          </w:tcPr>
          <w:p w:rsidR="00903061" w:rsidRDefault="00AC180B">
            <w:pPr>
              <w:jc w:val="center"/>
              <w:rPr>
                <w:rFonts w:ascii="Times New Roman" w:hAnsi="Times New Roman"/>
                <w:color w:val="000000"/>
                <w:sz w:val="22"/>
              </w:rPr>
            </w:pPr>
            <w:r>
              <w:rPr>
                <w:rFonts w:ascii="Times New Roman" w:hAnsi="Times New Roman"/>
                <w:sz w:val="22"/>
              </w:rPr>
              <w:t>0</w:t>
            </w:r>
          </w:p>
        </w:tc>
        <w:tc>
          <w:tcPr>
            <w:tcW w:w="18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0.04</w:t>
            </w:r>
          </w:p>
        </w:tc>
      </w:tr>
      <w:tr w:rsidR="00903061" w:rsidTr="00105384">
        <w:trPr>
          <w:trHeight w:val="346"/>
        </w:trPr>
        <w:tc>
          <w:tcPr>
            <w:tcW w:w="105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市级财政资金使用情况</w:t>
            </w:r>
          </w:p>
          <w:p w:rsidR="00903061" w:rsidRDefault="00AC180B">
            <w:pPr>
              <w:jc w:val="center"/>
              <w:rPr>
                <w:rFonts w:ascii="Times New Roman" w:hAnsi="Times New Roman"/>
                <w:color w:val="000000"/>
                <w:sz w:val="22"/>
              </w:rPr>
            </w:pPr>
            <w:r>
              <w:rPr>
                <w:rFonts w:ascii="Times New Roman" w:hAnsi="Times New Roman"/>
                <w:color w:val="000000"/>
                <w:sz w:val="22"/>
              </w:rPr>
              <w:t>（万元）</w:t>
            </w:r>
          </w:p>
        </w:tc>
        <w:tc>
          <w:tcPr>
            <w:tcW w:w="132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财政拨款数</w:t>
            </w:r>
          </w:p>
        </w:tc>
        <w:tc>
          <w:tcPr>
            <w:tcW w:w="1282"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实际支付数</w:t>
            </w:r>
          </w:p>
        </w:tc>
        <w:tc>
          <w:tcPr>
            <w:tcW w:w="23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资金结余、结转数</w:t>
            </w:r>
          </w:p>
        </w:tc>
        <w:tc>
          <w:tcPr>
            <w:tcW w:w="2964" w:type="dxa"/>
            <w:gridSpan w:val="4"/>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其中：</w:t>
            </w:r>
          </w:p>
        </w:tc>
      </w:tr>
      <w:tr w:rsidR="00903061" w:rsidTr="00105384">
        <w:trPr>
          <w:trHeight w:val="406"/>
        </w:trPr>
        <w:tc>
          <w:tcPr>
            <w:tcW w:w="1051" w:type="dxa"/>
            <w:vMerge/>
            <w:tcBorders>
              <w:top w:val="nil"/>
              <w:left w:val="single" w:sz="4" w:space="0" w:color="000000"/>
              <w:bottom w:val="single" w:sz="4" w:space="0" w:color="000000"/>
              <w:right w:val="single" w:sz="4" w:space="0" w:color="000000"/>
            </w:tcBorders>
            <w:vAlign w:val="center"/>
          </w:tcPr>
          <w:p w:rsidR="00903061" w:rsidRDefault="00903061">
            <w:pPr>
              <w:rPr>
                <w:rFonts w:ascii="Times New Roman" w:hAnsi="Times New Roman"/>
                <w:color w:val="000000"/>
                <w:sz w:val="22"/>
              </w:rPr>
            </w:pPr>
          </w:p>
        </w:tc>
        <w:tc>
          <w:tcPr>
            <w:tcW w:w="1323" w:type="dxa"/>
            <w:gridSpan w:val="2"/>
            <w:vMerge/>
            <w:tcBorders>
              <w:top w:val="nil"/>
              <w:left w:val="single" w:sz="4" w:space="0" w:color="000000"/>
              <w:bottom w:val="single" w:sz="4" w:space="0" w:color="000000"/>
              <w:right w:val="single" w:sz="4" w:space="0" w:color="000000"/>
            </w:tcBorders>
            <w:vAlign w:val="center"/>
          </w:tcPr>
          <w:p w:rsidR="00903061" w:rsidRDefault="00903061">
            <w:pPr>
              <w:rPr>
                <w:rFonts w:ascii="Times New Roman" w:hAnsi="Times New Roman"/>
                <w:color w:val="000000"/>
                <w:sz w:val="22"/>
              </w:rPr>
            </w:pPr>
          </w:p>
        </w:tc>
        <w:tc>
          <w:tcPr>
            <w:tcW w:w="1282" w:type="dxa"/>
            <w:gridSpan w:val="2"/>
            <w:vMerge/>
            <w:tcBorders>
              <w:top w:val="nil"/>
              <w:left w:val="single" w:sz="4" w:space="0" w:color="000000"/>
              <w:bottom w:val="single" w:sz="4" w:space="0" w:color="000000"/>
              <w:right w:val="single" w:sz="4" w:space="0" w:color="000000"/>
            </w:tcBorders>
            <w:vAlign w:val="center"/>
          </w:tcPr>
          <w:p w:rsidR="00903061" w:rsidRDefault="00903061">
            <w:pPr>
              <w:rPr>
                <w:rFonts w:ascii="Times New Roman" w:hAnsi="Times New Roman"/>
                <w:color w:val="000000"/>
                <w:sz w:val="22"/>
              </w:rPr>
            </w:pPr>
          </w:p>
        </w:tc>
        <w:tc>
          <w:tcPr>
            <w:tcW w:w="2313" w:type="dxa"/>
            <w:gridSpan w:val="2"/>
            <w:vMerge/>
            <w:tcBorders>
              <w:top w:val="single" w:sz="4" w:space="0" w:color="000000"/>
              <w:left w:val="single" w:sz="4" w:space="0" w:color="000000"/>
              <w:bottom w:val="single" w:sz="4" w:space="0" w:color="000000"/>
              <w:right w:val="single" w:sz="4" w:space="0" w:color="000000"/>
            </w:tcBorders>
            <w:vAlign w:val="center"/>
          </w:tcPr>
          <w:p w:rsidR="00903061" w:rsidRDefault="00903061">
            <w:pPr>
              <w:rPr>
                <w:rFonts w:ascii="Times New Roman" w:hAnsi="Times New Roman"/>
                <w:color w:val="000000"/>
                <w:sz w:val="22"/>
              </w:rPr>
            </w:pPr>
          </w:p>
        </w:tc>
        <w:tc>
          <w:tcPr>
            <w:tcW w:w="112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结转数</w:t>
            </w:r>
          </w:p>
        </w:tc>
        <w:tc>
          <w:tcPr>
            <w:tcW w:w="18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财政收回数</w:t>
            </w:r>
          </w:p>
        </w:tc>
      </w:tr>
      <w:tr w:rsidR="00903061" w:rsidTr="00105384">
        <w:trPr>
          <w:trHeight w:val="630"/>
        </w:trPr>
        <w:tc>
          <w:tcPr>
            <w:tcW w:w="1051" w:type="dxa"/>
            <w:vMerge/>
            <w:tcBorders>
              <w:top w:val="nil"/>
              <w:left w:val="single" w:sz="4" w:space="0" w:color="000000"/>
              <w:bottom w:val="single" w:sz="4" w:space="0" w:color="000000"/>
              <w:right w:val="single" w:sz="4" w:space="0" w:color="000000"/>
            </w:tcBorders>
            <w:vAlign w:val="center"/>
          </w:tcPr>
          <w:p w:rsidR="00903061" w:rsidRDefault="00903061">
            <w:pPr>
              <w:rPr>
                <w:rFonts w:ascii="Times New Roman" w:hAnsi="Times New Roman"/>
                <w:color w:val="000000"/>
                <w:sz w:val="22"/>
              </w:rPr>
            </w:pPr>
          </w:p>
        </w:tc>
        <w:tc>
          <w:tcPr>
            <w:tcW w:w="132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29.2</w:t>
            </w:r>
          </w:p>
        </w:tc>
        <w:tc>
          <w:tcPr>
            <w:tcW w:w="1282"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29.16</w:t>
            </w:r>
          </w:p>
        </w:tc>
        <w:tc>
          <w:tcPr>
            <w:tcW w:w="2313" w:type="dxa"/>
            <w:gridSpan w:val="2"/>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hint="eastAsia"/>
                <w:sz w:val="22"/>
              </w:rPr>
              <w:t>0</w:t>
            </w:r>
            <w:r>
              <w:rPr>
                <w:rFonts w:ascii="Times New Roman" w:hAnsi="Times New Roman"/>
                <w:sz w:val="22"/>
              </w:rPr>
              <w:t>.04</w:t>
            </w:r>
          </w:p>
        </w:tc>
        <w:tc>
          <w:tcPr>
            <w:tcW w:w="1123"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0</w:t>
            </w:r>
          </w:p>
        </w:tc>
        <w:tc>
          <w:tcPr>
            <w:tcW w:w="1841" w:type="dxa"/>
            <w:gridSpan w:val="2"/>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sz w:val="22"/>
              </w:rPr>
              <w:t>0.04</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8933" w:type="dxa"/>
            <w:gridSpan w:val="11"/>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项目资金构成（详细列出各子项目名称和金额）</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305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sz w:val="20"/>
              </w:rPr>
              <w:t>子项名称</w:t>
            </w:r>
          </w:p>
        </w:tc>
        <w:tc>
          <w:tcPr>
            <w:tcW w:w="291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调整</w:t>
            </w:r>
            <w:r>
              <w:rPr>
                <w:rFonts w:ascii="Times New Roman" w:hAnsi="Times New Roman"/>
                <w:color w:val="000000"/>
                <w:kern w:val="0"/>
                <w:sz w:val="20"/>
                <w:szCs w:val="20"/>
              </w:rPr>
              <w:t>预算数（万元）</w:t>
            </w:r>
          </w:p>
        </w:tc>
        <w:tc>
          <w:tcPr>
            <w:tcW w:w="2959"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w:t>
            </w:r>
            <w:r>
              <w:rPr>
                <w:rFonts w:ascii="Times New Roman" w:hAnsi="Times New Roman"/>
                <w:color w:val="000000"/>
                <w:kern w:val="0"/>
                <w:sz w:val="20"/>
                <w:szCs w:val="20"/>
              </w:rPr>
              <w:t>支出</w:t>
            </w:r>
            <w:r>
              <w:rPr>
                <w:rFonts w:ascii="Times New Roman" w:hAnsi="Times New Roman"/>
                <w:color w:val="000000"/>
                <w:kern w:val="0"/>
                <w:sz w:val="20"/>
                <w:szCs w:val="20"/>
              </w:rPr>
              <w:t>数（万元）</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3056"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2918" w:type="dxa"/>
            <w:gridSpan w:val="3"/>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35.7</w:t>
            </w:r>
          </w:p>
        </w:tc>
        <w:tc>
          <w:tcPr>
            <w:tcW w:w="2959"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29.16</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3056"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大院大所党建联建项目活动经费</w:t>
            </w:r>
          </w:p>
        </w:tc>
        <w:tc>
          <w:tcPr>
            <w:tcW w:w="2918" w:type="dxa"/>
            <w:gridSpan w:val="3"/>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20.05</w:t>
            </w:r>
          </w:p>
        </w:tc>
        <w:tc>
          <w:tcPr>
            <w:tcW w:w="2959"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19.42</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3056"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市级机关群团组织系列活动</w:t>
            </w:r>
          </w:p>
        </w:tc>
        <w:tc>
          <w:tcPr>
            <w:tcW w:w="2918" w:type="dxa"/>
            <w:gridSpan w:val="3"/>
            <w:tcBorders>
              <w:top w:val="single" w:sz="4" w:space="0" w:color="auto"/>
              <w:left w:val="single" w:sz="4" w:space="0" w:color="auto"/>
              <w:bottom w:val="single" w:sz="4" w:space="0" w:color="auto"/>
              <w:right w:val="single" w:sz="4" w:space="0" w:color="auto"/>
            </w:tcBorders>
            <w:vAlign w:val="center"/>
          </w:tcPr>
          <w:p w:rsidR="00903061" w:rsidRDefault="00105384">
            <w:pPr>
              <w:widowControl/>
              <w:jc w:val="center"/>
              <w:rPr>
                <w:rFonts w:ascii="Times New Roman" w:hAnsi="Times New Roman"/>
                <w:color w:val="000000"/>
                <w:kern w:val="0"/>
                <w:sz w:val="20"/>
                <w:szCs w:val="20"/>
              </w:rPr>
            </w:pPr>
            <w:r>
              <w:rPr>
                <w:rFonts w:ascii="Times New Roman" w:hAnsi="Times New Roman" w:hint="eastAsia"/>
                <w:color w:val="000000"/>
                <w:kern w:val="0"/>
                <w:sz w:val="20"/>
                <w:szCs w:val="20"/>
              </w:rPr>
              <w:t>0</w:t>
            </w:r>
            <w:r w:rsidR="00AC180B">
              <w:rPr>
                <w:rFonts w:ascii="Times New Roman" w:hAnsi="Times New Roman"/>
                <w:color w:val="000000"/>
                <w:kern w:val="0"/>
                <w:sz w:val="20"/>
                <w:szCs w:val="20"/>
              </w:rPr>
              <w:t>.15</w:t>
            </w:r>
          </w:p>
        </w:tc>
        <w:tc>
          <w:tcPr>
            <w:tcW w:w="2959"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0.21</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3056"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在职党员进社区</w:t>
            </w:r>
          </w:p>
        </w:tc>
        <w:tc>
          <w:tcPr>
            <w:tcW w:w="2918" w:type="dxa"/>
            <w:gridSpan w:val="3"/>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8.5</w:t>
            </w:r>
          </w:p>
        </w:tc>
        <w:tc>
          <w:tcPr>
            <w:tcW w:w="2959"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5.24</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3056"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产业创新集群党委活动经费</w:t>
            </w:r>
          </w:p>
        </w:tc>
        <w:tc>
          <w:tcPr>
            <w:tcW w:w="2918" w:type="dxa"/>
            <w:gridSpan w:val="3"/>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4.8</w:t>
            </w:r>
          </w:p>
        </w:tc>
        <w:tc>
          <w:tcPr>
            <w:tcW w:w="2959"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1.34</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3056"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proofErr w:type="gramStart"/>
            <w:r>
              <w:rPr>
                <w:rFonts w:ascii="Times New Roman" w:hAnsi="Times New Roman"/>
                <w:color w:val="000000"/>
                <w:kern w:val="0"/>
                <w:sz w:val="20"/>
                <w:szCs w:val="20"/>
              </w:rPr>
              <w:t>廉洁文化</w:t>
            </w:r>
            <w:proofErr w:type="gramEnd"/>
            <w:r>
              <w:rPr>
                <w:rFonts w:ascii="Times New Roman" w:hAnsi="Times New Roman"/>
                <w:color w:val="000000"/>
                <w:kern w:val="0"/>
                <w:sz w:val="20"/>
                <w:szCs w:val="20"/>
              </w:rPr>
              <w:t>建设系列活动</w:t>
            </w:r>
          </w:p>
        </w:tc>
        <w:tc>
          <w:tcPr>
            <w:tcW w:w="2918" w:type="dxa"/>
            <w:gridSpan w:val="3"/>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2.2</w:t>
            </w:r>
          </w:p>
        </w:tc>
        <w:tc>
          <w:tcPr>
            <w:tcW w:w="2959" w:type="dxa"/>
            <w:gridSpan w:val="4"/>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2.95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7"/>
        </w:trPr>
        <w:tc>
          <w:tcPr>
            <w:tcW w:w="121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sz w:val="20"/>
              </w:rPr>
              <w:t>项目</w:t>
            </w:r>
          </w:p>
        </w:tc>
        <w:tc>
          <w:tcPr>
            <w:tcW w:w="183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类别</w:t>
            </w:r>
          </w:p>
        </w:tc>
        <w:tc>
          <w:tcPr>
            <w:tcW w:w="205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指标名称</w:t>
            </w:r>
          </w:p>
        </w:tc>
        <w:tc>
          <w:tcPr>
            <w:tcW w:w="859" w:type="dxa"/>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目标值</w:t>
            </w:r>
          </w:p>
        </w:tc>
        <w:tc>
          <w:tcPr>
            <w:tcW w:w="777" w:type="dxa"/>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权重</w:t>
            </w:r>
          </w:p>
        </w:tc>
        <w:tc>
          <w:tcPr>
            <w:tcW w:w="1227"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实际完成值</w:t>
            </w:r>
          </w:p>
        </w:tc>
        <w:tc>
          <w:tcPr>
            <w:tcW w:w="955" w:type="dxa"/>
            <w:tcBorders>
              <w:top w:val="single" w:sz="4" w:space="0" w:color="auto"/>
              <w:left w:val="single" w:sz="4" w:space="0" w:color="auto"/>
              <w:bottom w:val="single" w:sz="4" w:space="0" w:color="auto"/>
              <w:right w:val="single" w:sz="4" w:space="0" w:color="auto"/>
            </w:tcBorders>
            <w:shd w:val="clear" w:color="auto" w:fill="BFBFBF"/>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自评分</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val="restart"/>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项目绩效</w:t>
            </w:r>
          </w:p>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实现情况</w:t>
            </w:r>
          </w:p>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w:t>
            </w:r>
            <w:r>
              <w:rPr>
                <w:rFonts w:ascii="Times New Roman" w:hAnsi="Times New Roman"/>
                <w:color w:val="000000"/>
                <w:kern w:val="0"/>
                <w:sz w:val="20"/>
                <w:szCs w:val="20"/>
              </w:rPr>
              <w:t>80</w:t>
            </w:r>
            <w:r>
              <w:rPr>
                <w:rFonts w:ascii="Times New Roman" w:hAnsi="Times New Roman"/>
                <w:color w:val="000000"/>
                <w:kern w:val="0"/>
                <w:sz w:val="20"/>
                <w:szCs w:val="20"/>
              </w:rPr>
              <w:t>分）</w:t>
            </w:r>
          </w:p>
        </w:tc>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决策目标</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立项依据充分性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充分</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立项程序规范性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规范</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绩效指标明确性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明确</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绩效目标合理性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预算编制科学性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科学</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资金分配合理性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合理</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过程目标</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资金到位率</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0.5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预算执行率</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8</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99.86%</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7.94</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资金使用合</w:t>
            </w:r>
            <w:proofErr w:type="gramStart"/>
            <w:r>
              <w:rPr>
                <w:rFonts w:ascii="Times New Roman" w:hAnsi="Times New Roman"/>
                <w:color w:val="000000"/>
                <w:kern w:val="0"/>
                <w:sz w:val="20"/>
                <w:szCs w:val="20"/>
              </w:rPr>
              <w:t>规</w:t>
            </w:r>
            <w:proofErr w:type="gramEnd"/>
            <w:r>
              <w:rPr>
                <w:rFonts w:ascii="Times New Roman" w:hAnsi="Times New Roman"/>
                <w:color w:val="000000"/>
                <w:kern w:val="0"/>
                <w:sz w:val="20"/>
                <w:szCs w:val="20"/>
              </w:rPr>
              <w:t>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w:t>
            </w:r>
            <w:proofErr w:type="gramStart"/>
            <w:r>
              <w:rPr>
                <w:rFonts w:ascii="Times New Roman" w:hAnsi="Times New Roman"/>
                <w:color w:val="000000"/>
                <w:kern w:val="0"/>
                <w:sz w:val="20"/>
                <w:szCs w:val="20"/>
              </w:rPr>
              <w:t>规</w:t>
            </w:r>
            <w:proofErr w:type="gramEnd"/>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制度执行有效性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有效</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管理制度健全性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健全</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val="restart"/>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产出目标</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4D061C">
            <w:pPr>
              <w:widowControl/>
              <w:jc w:val="left"/>
              <w:rPr>
                <w:rFonts w:ascii="Times New Roman" w:hAnsi="Times New Roman"/>
                <w:color w:val="000000"/>
                <w:kern w:val="0"/>
                <w:sz w:val="20"/>
                <w:szCs w:val="20"/>
              </w:rPr>
            </w:pPr>
            <w:r>
              <w:rPr>
                <w:rFonts w:ascii="Times New Roman" w:hAnsi="Times New Roman" w:hint="eastAsia"/>
                <w:color w:val="000000"/>
                <w:kern w:val="0"/>
                <w:sz w:val="20"/>
                <w:szCs w:val="20"/>
              </w:rPr>
              <w:t>“</w:t>
            </w:r>
            <w:r w:rsidR="00AC180B">
              <w:rPr>
                <w:rFonts w:ascii="Times New Roman" w:hAnsi="Times New Roman"/>
                <w:color w:val="000000"/>
                <w:kern w:val="0"/>
                <w:sz w:val="20"/>
                <w:szCs w:val="20"/>
              </w:rPr>
              <w:t>每季一讲</w:t>
            </w:r>
            <w:r>
              <w:rPr>
                <w:rFonts w:ascii="Times New Roman" w:hAnsi="Times New Roman" w:hint="eastAsia"/>
                <w:color w:val="000000"/>
                <w:kern w:val="0"/>
                <w:sz w:val="20"/>
                <w:szCs w:val="20"/>
              </w:rPr>
              <w:t>”</w:t>
            </w:r>
            <w:r w:rsidR="00AC180B">
              <w:rPr>
                <w:rFonts w:ascii="Times New Roman" w:hAnsi="Times New Roman"/>
                <w:color w:val="000000"/>
                <w:kern w:val="0"/>
                <w:sz w:val="20"/>
                <w:szCs w:val="20"/>
              </w:rPr>
              <w:t>系列教育讲座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&gt;=2</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活动完成质量达标</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达标</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活动完成及时性</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及时</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市级机关群团组织系列活动人均活动成本符合要求</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符合</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7.5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效益目标</w:t>
            </w:r>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提升市级机关干部职工满足感和获得感</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提升</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1"/>
        </w:trPr>
        <w:tc>
          <w:tcPr>
            <w:tcW w:w="1218" w:type="dxa"/>
            <w:gridSpan w:val="2"/>
            <w:vMerge/>
            <w:tcBorders>
              <w:top w:val="single" w:sz="4" w:space="0" w:color="auto"/>
              <w:left w:val="single" w:sz="4" w:space="0" w:color="auto"/>
              <w:bottom w:val="single" w:sz="4" w:space="0" w:color="auto"/>
              <w:right w:val="single" w:sz="4" w:space="0" w:color="auto"/>
            </w:tcBorders>
            <w:vAlign w:val="center"/>
          </w:tcPr>
          <w:p w:rsidR="00903061" w:rsidRDefault="00903061">
            <w:pPr>
              <w:widowControl/>
              <w:jc w:val="left"/>
              <w:rPr>
                <w:rFonts w:ascii="Times New Roman" w:hAnsi="Times New Roman"/>
                <w:color w:val="000000"/>
                <w:kern w:val="0"/>
                <w:sz w:val="20"/>
                <w:szCs w:val="20"/>
              </w:rPr>
            </w:pPr>
          </w:p>
        </w:tc>
        <w:tc>
          <w:tcPr>
            <w:tcW w:w="1838"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满意</w:t>
            </w:r>
            <w:proofErr w:type="gramStart"/>
            <w:r>
              <w:rPr>
                <w:rFonts w:ascii="Times New Roman" w:hAnsi="Times New Roman"/>
                <w:color w:val="000000"/>
                <w:kern w:val="0"/>
                <w:sz w:val="20"/>
                <w:szCs w:val="20"/>
              </w:rPr>
              <w:t>度目标</w:t>
            </w:r>
            <w:proofErr w:type="gramEnd"/>
          </w:p>
        </w:tc>
        <w:tc>
          <w:tcPr>
            <w:tcW w:w="2059"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left"/>
              <w:rPr>
                <w:rFonts w:ascii="Times New Roman" w:hAnsi="Times New Roman"/>
                <w:color w:val="000000"/>
                <w:kern w:val="0"/>
                <w:sz w:val="20"/>
                <w:szCs w:val="20"/>
              </w:rPr>
            </w:pPr>
            <w:r>
              <w:rPr>
                <w:rFonts w:ascii="Times New Roman" w:hAnsi="Times New Roman"/>
                <w:color w:val="000000"/>
                <w:kern w:val="0"/>
                <w:sz w:val="20"/>
                <w:szCs w:val="20"/>
              </w:rPr>
              <w:t>参加活动人员满意度</w:t>
            </w:r>
          </w:p>
        </w:tc>
        <w:tc>
          <w:tcPr>
            <w:tcW w:w="859"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较高</w:t>
            </w:r>
          </w:p>
        </w:tc>
        <w:tc>
          <w:tcPr>
            <w:tcW w:w="777"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17.5</w:t>
            </w:r>
          </w:p>
        </w:tc>
      </w:tr>
      <w:tr w:rsidR="00903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315"/>
        </w:trPr>
        <w:tc>
          <w:tcPr>
            <w:tcW w:w="7978" w:type="dxa"/>
            <w:gridSpan w:val="10"/>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color w:val="000000"/>
                <w:kern w:val="0"/>
                <w:sz w:val="20"/>
                <w:szCs w:val="20"/>
              </w:rPr>
              <w:t>合计</w:t>
            </w:r>
          </w:p>
        </w:tc>
        <w:tc>
          <w:tcPr>
            <w:tcW w:w="955" w:type="dxa"/>
            <w:tcBorders>
              <w:top w:val="single" w:sz="4" w:space="0" w:color="auto"/>
              <w:left w:val="single" w:sz="4" w:space="0" w:color="auto"/>
              <w:bottom w:val="single" w:sz="4" w:space="0" w:color="auto"/>
              <w:right w:val="single" w:sz="4" w:space="0" w:color="auto"/>
            </w:tcBorders>
            <w:vAlign w:val="center"/>
          </w:tcPr>
          <w:p w:rsidR="00903061" w:rsidRDefault="00AC180B">
            <w:pPr>
              <w:widowControl/>
              <w:jc w:val="center"/>
              <w:rPr>
                <w:rFonts w:ascii="Times New Roman" w:hAnsi="Times New Roman"/>
                <w:color w:val="000000"/>
                <w:kern w:val="0"/>
                <w:sz w:val="20"/>
                <w:szCs w:val="20"/>
              </w:rPr>
            </w:pPr>
            <w:r>
              <w:rPr>
                <w:rFonts w:ascii="Times New Roman" w:hAnsi="Times New Roman"/>
                <w:sz w:val="22"/>
              </w:rPr>
              <w:t>81.94</w:t>
            </w:r>
          </w:p>
        </w:tc>
      </w:tr>
    </w:tbl>
    <w:p w:rsidR="00903061" w:rsidRDefault="00903061">
      <w:pPr>
        <w:rPr>
          <w:rFonts w:ascii="Times New Roman" w:hAnsi="Times New Roman"/>
        </w:rPr>
      </w:pPr>
    </w:p>
    <w:tbl>
      <w:tblPr>
        <w:tblW w:w="9093" w:type="dxa"/>
        <w:tblInd w:w="-147" w:type="dxa"/>
        <w:tblLayout w:type="fixed"/>
        <w:tblCellMar>
          <w:left w:w="0" w:type="dxa"/>
          <w:right w:w="0" w:type="dxa"/>
        </w:tblCellMar>
        <w:tblLook w:val="04A0"/>
      </w:tblPr>
      <w:tblGrid>
        <w:gridCol w:w="1424"/>
        <w:gridCol w:w="963"/>
        <w:gridCol w:w="960"/>
        <w:gridCol w:w="960"/>
        <w:gridCol w:w="960"/>
        <w:gridCol w:w="960"/>
        <w:gridCol w:w="960"/>
        <w:gridCol w:w="1906"/>
      </w:tblGrid>
      <w:tr w:rsidR="00903061" w:rsidTr="00BB5789">
        <w:trPr>
          <w:trHeight w:val="3471"/>
        </w:trPr>
        <w:tc>
          <w:tcPr>
            <w:tcW w:w="9093"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spacing w:line="240" w:lineRule="exact"/>
              <w:jc w:val="left"/>
              <w:rPr>
                <w:rFonts w:ascii="Times New Roman" w:hAnsi="Times New Roman"/>
                <w:color w:val="000000"/>
                <w:sz w:val="22"/>
              </w:rPr>
            </w:pPr>
            <w:r>
              <w:rPr>
                <w:rFonts w:ascii="Times New Roman" w:eastAsia="黑体" w:hAnsi="Times New Roman"/>
                <w:color w:val="000000"/>
                <w:kern w:val="0"/>
                <w:szCs w:val="21"/>
              </w:rPr>
              <w:t>填表说明：</w:t>
            </w:r>
            <w:r>
              <w:rPr>
                <w:rFonts w:ascii="Times New Roman" w:eastAsia="楷体_GB2312" w:hAnsi="Times New Roman"/>
                <w:b/>
                <w:color w:val="000000"/>
                <w:kern w:val="0"/>
                <w:szCs w:val="21"/>
              </w:rPr>
              <w:t>1</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批复</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填当年</w:t>
            </w:r>
            <w:proofErr w:type="gramEnd"/>
            <w:r>
              <w:rPr>
                <w:rFonts w:ascii="Times New Roman" w:eastAsia="楷体_GB2312" w:hAnsi="Times New Roman"/>
                <w:color w:val="000000"/>
                <w:kern w:val="0"/>
                <w:szCs w:val="21"/>
              </w:rPr>
              <w:t>使用上年结余、结转数以及追加或</w:t>
            </w:r>
            <w:r>
              <w:rPr>
                <w:rFonts w:ascii="Times New Roman" w:eastAsia="楷体_GB2312" w:hAnsi="Times New Roman"/>
                <w:color w:val="000000"/>
                <w:kern w:val="0"/>
                <w:szCs w:val="21"/>
              </w:rPr>
              <w:t>追</w:t>
            </w:r>
            <w:proofErr w:type="gramStart"/>
            <w:r>
              <w:rPr>
                <w:rFonts w:ascii="Times New Roman" w:eastAsia="楷体_GB2312" w:hAnsi="Times New Roman"/>
                <w:color w:val="000000"/>
                <w:kern w:val="0"/>
                <w:szCs w:val="21"/>
              </w:rPr>
              <w:t>减</w:t>
            </w:r>
            <w:r>
              <w:rPr>
                <w:rFonts w:ascii="Times New Roman" w:eastAsia="楷体_GB2312" w:hAnsi="Times New Roman"/>
                <w:color w:val="000000"/>
                <w:kern w:val="0"/>
                <w:szCs w:val="21"/>
              </w:rPr>
              <w:t>预算</w:t>
            </w:r>
            <w:proofErr w:type="gramEnd"/>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填财政部门实际拨付的款项数；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proofErr w:type="gramStart"/>
            <w:r>
              <w:rPr>
                <w:rFonts w:ascii="Times New Roman" w:eastAsia="楷体_GB2312" w:hAnsi="Times New Roman"/>
                <w:color w:val="000000"/>
                <w:kern w:val="0"/>
                <w:szCs w:val="21"/>
              </w:rPr>
              <w:t>填资金</w:t>
            </w:r>
            <w:proofErr w:type="gramEnd"/>
            <w:r>
              <w:rPr>
                <w:rFonts w:ascii="Times New Roman" w:eastAsia="楷体_GB2312" w:hAnsi="Times New Roman"/>
                <w:color w:val="000000"/>
                <w:kern w:val="0"/>
                <w:szCs w:val="21"/>
              </w:rPr>
              <w:t>实际支付到最终使用者的数额；</w:t>
            </w:r>
            <w:r>
              <w:rPr>
                <w:rFonts w:ascii="Times New Roman" w:eastAsia="楷体_GB2312" w:hAnsi="Times New Roman"/>
                <w:color w:val="000000"/>
                <w:kern w:val="0"/>
                <w:szCs w:val="21"/>
              </w:rPr>
              <w:t>“</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填结转以后年度使用的资金数；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填财政部门收回的资金数。指标结余数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年初预算数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当年使用上年结余、结转及当年预算</w:t>
            </w:r>
            <w:r>
              <w:rPr>
                <w:rFonts w:ascii="Times New Roman" w:eastAsia="楷体_GB2312" w:hAnsi="Times New Roman"/>
                <w:color w:val="000000"/>
                <w:kern w:val="0"/>
                <w:szCs w:val="21"/>
              </w:rPr>
              <w:t>追加追减</w:t>
            </w:r>
            <w:r>
              <w:rPr>
                <w:rFonts w:ascii="Times New Roman" w:eastAsia="楷体_GB2312" w:hAnsi="Times New Roman"/>
                <w:color w:val="000000"/>
                <w:kern w:val="0"/>
                <w:szCs w:val="21"/>
              </w:rPr>
              <w:t>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计划结余数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财政拨款数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实际支付数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计划</w:t>
            </w:r>
            <w:r>
              <w:rPr>
                <w:rFonts w:ascii="Times New Roman" w:eastAsia="楷体_GB2312" w:hAnsi="Times New Roman"/>
                <w:color w:val="000000"/>
                <w:kern w:val="0"/>
                <w:szCs w:val="21"/>
              </w:rPr>
              <w:t>结转数</w:t>
            </w:r>
            <w:r>
              <w:rPr>
                <w:rFonts w:ascii="Times New Roman" w:eastAsia="楷体_GB2312" w:hAnsi="Times New Roman"/>
                <w:color w:val="000000"/>
                <w:kern w:val="0"/>
                <w:szCs w:val="21"/>
              </w:rPr>
              <w:t>+</w:t>
            </w:r>
            <w:r>
              <w:rPr>
                <w:rFonts w:ascii="Times New Roman" w:eastAsia="楷体_GB2312" w:hAnsi="Times New Roman"/>
                <w:color w:val="000000"/>
                <w:kern w:val="0"/>
                <w:szCs w:val="21"/>
              </w:rPr>
              <w:t>财政收回数。</w:t>
            </w:r>
            <w:r>
              <w:rPr>
                <w:rFonts w:ascii="Times New Roman" w:eastAsia="楷体_GB2312" w:hAnsi="Times New Roman"/>
                <w:b/>
                <w:color w:val="000000"/>
                <w:kern w:val="0"/>
                <w:szCs w:val="21"/>
              </w:rPr>
              <w:t>2</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w:t>
            </w:r>
            <w:r>
              <w:rPr>
                <w:rFonts w:ascii="Times New Roman" w:eastAsia="楷体_GB2312" w:hAnsi="Times New Roman"/>
                <w:color w:val="000000"/>
                <w:kern w:val="0"/>
                <w:szCs w:val="21"/>
              </w:rPr>
              <w:t>每个指标的权重值固定</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指标权重值是根据指标数量将</w:t>
            </w:r>
            <w:r>
              <w:rPr>
                <w:rFonts w:ascii="Times New Roman" w:eastAsia="楷体_GB2312" w:hAnsi="Times New Roman"/>
                <w:color w:val="000000"/>
                <w:kern w:val="0"/>
                <w:szCs w:val="21"/>
              </w:rPr>
              <w:t>每</w:t>
            </w:r>
            <w:r>
              <w:rPr>
                <w:rFonts w:ascii="Times New Roman" w:eastAsia="楷体_GB2312" w:hAnsi="Times New Roman"/>
                <w:color w:val="000000"/>
                <w:kern w:val="0"/>
                <w:szCs w:val="21"/>
              </w:rPr>
              <w:t>类</w:t>
            </w:r>
            <w:r>
              <w:rPr>
                <w:rFonts w:ascii="Times New Roman" w:eastAsia="楷体_GB2312" w:hAnsi="Times New Roman"/>
                <w:color w:val="000000"/>
                <w:kern w:val="0"/>
                <w:szCs w:val="21"/>
              </w:rPr>
              <w:t>指标总</w:t>
            </w:r>
            <w:r>
              <w:rPr>
                <w:rFonts w:ascii="Times New Roman" w:eastAsia="楷体_GB2312" w:hAnsi="Times New Roman"/>
                <w:color w:val="000000"/>
                <w:kern w:val="0"/>
                <w:szCs w:val="21"/>
              </w:rPr>
              <w:t>分值分摊到各项指标，即各项指标分值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每类</w:t>
            </w:r>
            <w:r>
              <w:rPr>
                <w:rFonts w:ascii="Times New Roman" w:eastAsia="楷体_GB2312" w:hAnsi="Times New Roman"/>
                <w:color w:val="000000"/>
                <w:kern w:val="0"/>
                <w:szCs w:val="21"/>
              </w:rPr>
              <w:t>指标</w:t>
            </w:r>
            <w:r>
              <w:rPr>
                <w:rFonts w:ascii="Times New Roman" w:eastAsia="楷体_GB2312" w:hAnsi="Times New Roman"/>
                <w:color w:val="000000"/>
                <w:kern w:val="0"/>
                <w:szCs w:val="21"/>
              </w:rPr>
              <w:t>总分值</w:t>
            </w:r>
            <w:r>
              <w:rPr>
                <w:rFonts w:ascii="Times New Roman" w:eastAsia="楷体_GB2312" w:hAnsi="Times New Roman"/>
                <w:color w:val="000000"/>
                <w:kern w:val="0"/>
                <w:szCs w:val="21"/>
              </w:rPr>
              <w:t>/</w:t>
            </w:r>
            <w:r>
              <w:rPr>
                <w:rFonts w:ascii="Times New Roman" w:eastAsia="楷体_GB2312" w:hAnsi="Times New Roman"/>
                <w:color w:val="000000"/>
                <w:kern w:val="0"/>
                <w:szCs w:val="21"/>
              </w:rPr>
              <w:t>该类</w:t>
            </w:r>
            <w:r>
              <w:rPr>
                <w:rFonts w:ascii="Times New Roman" w:eastAsia="楷体_GB2312" w:hAnsi="Times New Roman"/>
                <w:color w:val="000000"/>
                <w:kern w:val="0"/>
                <w:szCs w:val="21"/>
              </w:rPr>
              <w:t>指标个数。</w:t>
            </w:r>
            <w:r>
              <w:rPr>
                <w:rFonts w:ascii="Times New Roman" w:eastAsia="楷体_GB2312" w:hAnsi="Times New Roman"/>
                <w:b/>
                <w:color w:val="000000"/>
                <w:kern w:val="0"/>
                <w:szCs w:val="21"/>
              </w:rPr>
              <w:t>3</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各项数据采集的时间节点均为</w:t>
            </w:r>
            <w:r>
              <w:rPr>
                <w:rFonts w:ascii="Times New Roman" w:eastAsia="楷体_GB2312" w:hAnsi="Times New Roman"/>
                <w:color w:val="000000"/>
                <w:kern w:val="0"/>
                <w:szCs w:val="21"/>
              </w:rPr>
              <w:t>202</w:t>
            </w:r>
            <w:r>
              <w:rPr>
                <w:rFonts w:ascii="Times New Roman" w:eastAsia="楷体_GB2312" w:hAnsi="Times New Roman"/>
                <w:color w:val="000000"/>
                <w:kern w:val="0"/>
                <w:szCs w:val="21"/>
              </w:rPr>
              <w:t>4</w:t>
            </w:r>
            <w:r>
              <w:rPr>
                <w:rFonts w:ascii="Times New Roman" w:eastAsia="楷体_GB2312" w:hAnsi="Times New Roman"/>
                <w:color w:val="000000"/>
                <w:kern w:val="0"/>
                <w:szCs w:val="21"/>
              </w:rPr>
              <w:t>年</w:t>
            </w:r>
            <w:r>
              <w:rPr>
                <w:rFonts w:ascii="Times New Roman" w:eastAsia="楷体_GB2312" w:hAnsi="Times New Roman"/>
                <w:color w:val="000000"/>
                <w:kern w:val="0"/>
                <w:szCs w:val="21"/>
              </w:rPr>
              <w:t>12</w:t>
            </w:r>
            <w:r>
              <w:rPr>
                <w:rFonts w:ascii="Times New Roman" w:eastAsia="楷体_GB2312" w:hAnsi="Times New Roman"/>
                <w:color w:val="000000"/>
                <w:kern w:val="0"/>
                <w:szCs w:val="21"/>
              </w:rPr>
              <w:t>月</w:t>
            </w:r>
            <w:r>
              <w:rPr>
                <w:rFonts w:ascii="Times New Roman" w:eastAsia="楷体_GB2312" w:hAnsi="Times New Roman"/>
                <w:color w:val="000000"/>
                <w:kern w:val="0"/>
                <w:szCs w:val="21"/>
              </w:rPr>
              <w:t>31</w:t>
            </w:r>
            <w:r>
              <w:rPr>
                <w:rFonts w:ascii="Times New Roman" w:eastAsia="楷体_GB2312" w:hAnsi="Times New Roman"/>
                <w:color w:val="000000"/>
                <w:kern w:val="0"/>
                <w:szCs w:val="21"/>
              </w:rPr>
              <w:t>日。</w:t>
            </w:r>
            <w:r>
              <w:rPr>
                <w:rFonts w:ascii="Times New Roman" w:eastAsia="楷体_GB2312" w:hAnsi="Times New Roman"/>
                <w:b/>
                <w:color w:val="000000"/>
                <w:kern w:val="0"/>
                <w:szCs w:val="21"/>
              </w:rPr>
              <w:t>4</w:t>
            </w:r>
            <w:r>
              <w:rPr>
                <w:rFonts w:ascii="Times New Roman" w:eastAsia="楷体_GB2312" w:hAnsi="Times New Roman"/>
                <w:b/>
                <w:color w:val="000000"/>
                <w:kern w:val="0"/>
                <w:szCs w:val="21"/>
              </w:rPr>
              <w:t>．</w:t>
            </w:r>
            <w:r>
              <w:rPr>
                <w:rFonts w:ascii="Times New Roman" w:eastAsia="楷体_GB2312" w:hAnsi="Times New Roman"/>
                <w:color w:val="000000"/>
                <w:kern w:val="0"/>
                <w:szCs w:val="21"/>
              </w:rPr>
              <w:t>定性指标</w:t>
            </w:r>
            <w:r>
              <w:rPr>
                <w:rFonts w:ascii="Times New Roman" w:eastAsia="楷体_GB2312" w:hAnsi="Times New Roman"/>
                <w:color w:val="000000"/>
                <w:kern w:val="0"/>
                <w:szCs w:val="21"/>
              </w:rPr>
              <w:t>根据实际完成情况按照</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80%</w:t>
            </w:r>
            <w:r>
              <w:rPr>
                <w:rFonts w:ascii="Times New Roman" w:eastAsia="楷体_GB2312" w:hAnsi="Times New Roman"/>
                <w:color w:val="000000"/>
                <w:kern w:val="0"/>
                <w:szCs w:val="21"/>
              </w:rPr>
              <w:t>、</w:t>
            </w:r>
            <w:r>
              <w:rPr>
                <w:rFonts w:ascii="Times New Roman" w:eastAsia="楷体_GB2312" w:hAnsi="Times New Roman"/>
                <w:color w:val="000000"/>
                <w:kern w:val="0"/>
                <w:szCs w:val="21"/>
              </w:rPr>
              <w:t>60%</w:t>
            </w:r>
            <w:r>
              <w:rPr>
                <w:rFonts w:ascii="Times New Roman" w:eastAsia="楷体_GB2312" w:hAnsi="Times New Roman"/>
                <w:color w:val="000000"/>
                <w:kern w:val="0"/>
                <w:szCs w:val="21"/>
              </w:rPr>
              <w:t>、</w:t>
            </w:r>
            <w:r>
              <w:rPr>
                <w:rFonts w:ascii="Times New Roman" w:eastAsia="楷体_GB2312" w:hAnsi="Times New Roman"/>
                <w:color w:val="000000"/>
                <w:kern w:val="0"/>
                <w:szCs w:val="21"/>
              </w:rPr>
              <w:t>40%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w:t>
            </w:r>
            <w:r>
              <w:rPr>
                <w:rFonts w:ascii="Times New Roman" w:eastAsia="楷体_GB2312" w:hAnsi="Times New Roman"/>
                <w:color w:val="000000"/>
                <w:kern w:val="0"/>
                <w:szCs w:val="21"/>
              </w:rPr>
              <w:t>、</w:t>
            </w:r>
            <w:r>
              <w:rPr>
                <w:rFonts w:ascii="Times New Roman" w:eastAsia="楷体_GB2312" w:hAnsi="Times New Roman"/>
                <w:color w:val="000000"/>
                <w:kern w:val="0"/>
                <w:szCs w:val="21"/>
              </w:rPr>
              <w:t>0</w:t>
            </w:r>
            <w:proofErr w:type="gramStart"/>
            <w:r>
              <w:rPr>
                <w:rFonts w:ascii="Times New Roman" w:eastAsia="楷体_GB2312" w:hAnsi="Times New Roman"/>
                <w:color w:val="000000"/>
                <w:kern w:val="0"/>
                <w:szCs w:val="21"/>
              </w:rPr>
              <w:t>六</w:t>
            </w:r>
            <w:proofErr w:type="gramEnd"/>
            <w:r>
              <w:rPr>
                <w:rFonts w:ascii="Times New Roman" w:eastAsia="楷体_GB2312" w:hAnsi="Times New Roman"/>
                <w:color w:val="000000"/>
                <w:kern w:val="0"/>
                <w:szCs w:val="21"/>
              </w:rPr>
              <w:t>级权重予以评分</w:t>
            </w:r>
            <w:r>
              <w:rPr>
                <w:rFonts w:ascii="Times New Roman" w:eastAsia="楷体_GB2312" w:hAnsi="Times New Roman"/>
                <w:color w:val="000000"/>
                <w:kern w:val="0"/>
                <w:szCs w:val="21"/>
              </w:rPr>
              <w:t>。定量指标评分规则：</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产出</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130%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决策</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过程</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满意度</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类指标以</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为满分</w:t>
            </w:r>
            <w:r>
              <w:rPr>
                <w:rFonts w:ascii="Times New Roman" w:eastAsia="楷体_GB2312" w:hAnsi="Times New Roman"/>
                <w:color w:val="000000"/>
                <w:kern w:val="0"/>
                <w:szCs w:val="21"/>
              </w:rPr>
              <w:t>；</w:t>
            </w:r>
            <w:r>
              <w:rPr>
                <w:rFonts w:ascii="Times New Roman" w:eastAsia="楷体_GB2312" w:hAnsi="Times New Roman"/>
                <w:color w:val="000000"/>
                <w:kern w:val="0"/>
                <w:szCs w:val="21"/>
              </w:rPr>
              <w:t>“</w:t>
            </w:r>
            <w:r>
              <w:rPr>
                <w:rFonts w:ascii="Times New Roman" w:eastAsia="楷体_GB2312" w:hAnsi="Times New Roman"/>
                <w:color w:val="000000"/>
                <w:kern w:val="0"/>
                <w:szCs w:val="21"/>
              </w:rPr>
              <w:t>效益</w:t>
            </w:r>
            <w:r>
              <w:rPr>
                <w:rFonts w:ascii="Times New Roman" w:eastAsia="楷体_GB2312" w:hAnsi="Times New Roman"/>
                <w:color w:val="000000"/>
                <w:kern w:val="0"/>
                <w:szCs w:val="21"/>
              </w:rPr>
              <w:t>”</w:t>
            </w:r>
            <w:r>
              <w:rPr>
                <w:rFonts w:ascii="Times New Roman" w:eastAsia="楷体_GB2312" w:hAnsi="Times New Roman"/>
                <w:color w:val="000000"/>
                <w:kern w:val="0"/>
                <w:szCs w:val="21"/>
              </w:rPr>
              <w:t>类每项指标的实际完成值对应预期设定的目标值，完成</w:t>
            </w:r>
            <w:r>
              <w:rPr>
                <w:rFonts w:ascii="Times New Roman" w:eastAsia="楷体_GB2312" w:hAnsi="Times New Roman"/>
                <w:color w:val="000000"/>
                <w:kern w:val="0"/>
                <w:szCs w:val="21"/>
              </w:rPr>
              <w:t>100%</w:t>
            </w:r>
            <w:r>
              <w:rPr>
                <w:rFonts w:ascii="Times New Roman" w:eastAsia="楷体_GB2312" w:hAnsi="Times New Roman"/>
                <w:color w:val="000000"/>
                <w:kern w:val="0"/>
                <w:szCs w:val="21"/>
              </w:rPr>
              <w:t>～</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得权重值满分，超过</w:t>
            </w:r>
            <w:r>
              <w:rPr>
                <w:rFonts w:ascii="Times New Roman" w:eastAsia="楷体_GB2312" w:hAnsi="Times New Roman"/>
                <w:color w:val="000000"/>
                <w:kern w:val="0"/>
                <w:szCs w:val="21"/>
              </w:rPr>
              <w:t>200%</w:t>
            </w:r>
            <w:r>
              <w:rPr>
                <w:rFonts w:ascii="Times New Roman" w:eastAsia="楷体_GB2312" w:hAnsi="Times New Roman"/>
                <w:color w:val="000000"/>
                <w:kern w:val="0"/>
                <w:szCs w:val="21"/>
              </w:rPr>
              <w:t>的每超过</w:t>
            </w:r>
            <w:r>
              <w:rPr>
                <w:rFonts w:ascii="Times New Roman" w:eastAsia="楷体_GB2312" w:hAnsi="Times New Roman"/>
                <w:color w:val="000000"/>
                <w:kern w:val="0"/>
                <w:szCs w:val="21"/>
              </w:rPr>
              <w:t>1%</w:t>
            </w:r>
            <w:r>
              <w:rPr>
                <w:rFonts w:ascii="Times New Roman" w:eastAsia="楷体_GB2312" w:hAnsi="Times New Roman"/>
                <w:color w:val="000000"/>
                <w:kern w:val="0"/>
                <w:szCs w:val="21"/>
              </w:rPr>
              <w:t>扣权重值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w:t>
            </w:r>
            <w:r>
              <w:rPr>
                <w:rFonts w:ascii="Times New Roman" w:eastAsia="楷体_GB2312" w:hAnsi="Times New Roman"/>
                <w:color w:val="000000"/>
                <w:kern w:val="0"/>
                <w:szCs w:val="21"/>
              </w:rPr>
              <w:t>五</w:t>
            </w:r>
            <w:r>
              <w:rPr>
                <w:rFonts w:ascii="Times New Roman" w:eastAsia="楷体_GB2312" w:hAnsi="Times New Roman"/>
                <w:color w:val="000000"/>
                <w:kern w:val="0"/>
                <w:szCs w:val="21"/>
              </w:rPr>
              <w:t>类指标的所有指标实际完成值每低于目标值</w:t>
            </w:r>
            <w:r>
              <w:rPr>
                <w:rFonts w:ascii="Times New Roman" w:eastAsia="楷体_GB2312" w:hAnsi="Times New Roman"/>
                <w:color w:val="000000"/>
                <w:kern w:val="0"/>
                <w:szCs w:val="21"/>
              </w:rPr>
              <w:t>1</w:t>
            </w:r>
            <w:r>
              <w:rPr>
                <w:rFonts w:ascii="Times New Roman" w:eastAsia="楷体_GB2312" w:hAnsi="Times New Roman"/>
                <w:color w:val="000000"/>
                <w:kern w:val="0"/>
                <w:szCs w:val="21"/>
              </w:rPr>
              <w:t>个百分点相应扣减权重值的</w:t>
            </w:r>
            <w:r>
              <w:rPr>
                <w:rFonts w:ascii="Times New Roman" w:eastAsia="楷体_GB2312" w:hAnsi="Times New Roman"/>
                <w:color w:val="000000"/>
                <w:kern w:val="0"/>
                <w:szCs w:val="21"/>
              </w:rPr>
              <w:t>5%</w:t>
            </w:r>
            <w:r>
              <w:rPr>
                <w:rFonts w:ascii="Times New Roman" w:eastAsia="楷体_GB2312" w:hAnsi="Times New Roman"/>
                <w:color w:val="000000"/>
                <w:kern w:val="0"/>
                <w:szCs w:val="21"/>
              </w:rPr>
              <w:t>；某项指标无法提供具体数值，且无说明，得</w:t>
            </w:r>
            <w:r>
              <w:rPr>
                <w:rFonts w:ascii="Times New Roman" w:eastAsia="楷体_GB2312" w:hAnsi="Times New Roman"/>
                <w:color w:val="000000"/>
                <w:kern w:val="0"/>
                <w:szCs w:val="21"/>
              </w:rPr>
              <w:t>0</w:t>
            </w:r>
            <w:r>
              <w:rPr>
                <w:rFonts w:ascii="Times New Roman" w:eastAsia="楷体_GB2312" w:hAnsi="Times New Roman"/>
                <w:color w:val="000000"/>
                <w:kern w:val="0"/>
                <w:szCs w:val="21"/>
              </w:rPr>
              <w:t>分。</w:t>
            </w:r>
          </w:p>
        </w:tc>
      </w:tr>
      <w:tr w:rsidR="00903061" w:rsidTr="00BB5789">
        <w:trPr>
          <w:trHeight w:val="459"/>
        </w:trPr>
        <w:tc>
          <w:tcPr>
            <w:tcW w:w="9093"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b/>
                <w:bCs/>
                <w:color w:val="000000"/>
                <w:sz w:val="36"/>
                <w:szCs w:val="36"/>
              </w:rPr>
            </w:pPr>
            <w:r>
              <w:rPr>
                <w:rFonts w:ascii="Times New Roman" w:hAnsi="Times New Roman"/>
                <w:b/>
                <w:bCs/>
                <w:color w:val="000000"/>
                <w:sz w:val="36"/>
                <w:szCs w:val="36"/>
              </w:rPr>
              <w:t>项目基本情况</w:t>
            </w:r>
          </w:p>
        </w:tc>
      </w:tr>
      <w:tr w:rsidR="00903061" w:rsidTr="00BB5789">
        <w:trPr>
          <w:trHeight w:val="3543"/>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项目概况</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left"/>
              <w:rPr>
                <w:rFonts w:ascii="Times New Roman" w:hAnsi="Times New Roman"/>
                <w:color w:val="000000"/>
                <w:sz w:val="22"/>
              </w:rPr>
            </w:pPr>
            <w:r>
              <w:rPr>
                <w:rFonts w:ascii="Times New Roman" w:hAnsi="Times New Roman"/>
                <w:color w:val="000000"/>
                <w:sz w:val="22"/>
              </w:rPr>
              <w:t>为深入贯彻苏州市数字经济时代产业创新集群融合发展大会精神，以高质量党建</w:t>
            </w:r>
            <w:proofErr w:type="gramStart"/>
            <w:r>
              <w:rPr>
                <w:rFonts w:ascii="Times New Roman" w:hAnsi="Times New Roman"/>
                <w:color w:val="000000"/>
                <w:sz w:val="22"/>
              </w:rPr>
              <w:t>引领保障</w:t>
            </w:r>
            <w:proofErr w:type="gramEnd"/>
            <w:r>
              <w:rPr>
                <w:rFonts w:ascii="Times New Roman" w:hAnsi="Times New Roman"/>
                <w:color w:val="000000"/>
                <w:sz w:val="22"/>
              </w:rPr>
              <w:t>高质量发展，推动数字经济和实体经济深度融合，加快锻造产业创新集群发展领先优势，努力打造具有全球竞争力的现代化产业体系，助力推动产业创新集群突破成势。通过大院大所党建联建，搭建平台载体，凝聚各方合力，整合各项资源，促进高校、科研院所与企业优势互补、协同创新，推动重大项目深度合作。大力实施高质量党建引领基层治理现代化</w:t>
            </w:r>
            <w:r w:rsidR="004D061C">
              <w:rPr>
                <w:rFonts w:ascii="Times New Roman" w:hAnsi="Times New Roman" w:hint="eastAsia"/>
                <w:color w:val="000000"/>
                <w:kern w:val="0"/>
                <w:sz w:val="20"/>
                <w:szCs w:val="20"/>
              </w:rPr>
              <w:t>“</w:t>
            </w:r>
            <w:r>
              <w:rPr>
                <w:rFonts w:ascii="Times New Roman" w:hAnsi="Times New Roman"/>
                <w:color w:val="000000"/>
                <w:sz w:val="22"/>
              </w:rPr>
              <w:t>根系工程</w:t>
            </w:r>
            <w:r w:rsidR="004D061C">
              <w:rPr>
                <w:rFonts w:ascii="Times New Roman" w:hAnsi="Times New Roman" w:hint="eastAsia"/>
                <w:color w:val="000000"/>
                <w:sz w:val="22"/>
              </w:rPr>
              <w:t>”</w:t>
            </w:r>
            <w:r>
              <w:rPr>
                <w:rFonts w:ascii="Times New Roman" w:hAnsi="Times New Roman"/>
                <w:color w:val="000000"/>
                <w:sz w:val="22"/>
              </w:rPr>
              <w:t>，发挥机关党组织作用，推动机关人员力量、服务资源</w:t>
            </w:r>
            <w:r w:rsidR="004D061C">
              <w:rPr>
                <w:rFonts w:ascii="Times New Roman" w:hAnsi="Times New Roman" w:hint="eastAsia"/>
                <w:color w:val="000000"/>
                <w:kern w:val="0"/>
                <w:sz w:val="20"/>
                <w:szCs w:val="20"/>
              </w:rPr>
              <w:t>“</w:t>
            </w:r>
            <w:r>
              <w:rPr>
                <w:rFonts w:ascii="Times New Roman" w:hAnsi="Times New Roman"/>
                <w:color w:val="000000"/>
                <w:sz w:val="22"/>
              </w:rPr>
              <w:t>双下沉</w:t>
            </w:r>
            <w:r w:rsidR="004D061C">
              <w:rPr>
                <w:rFonts w:ascii="Times New Roman" w:hAnsi="Times New Roman" w:hint="eastAsia"/>
                <w:color w:val="000000"/>
                <w:sz w:val="22"/>
              </w:rPr>
              <w:t>”</w:t>
            </w:r>
            <w:r>
              <w:rPr>
                <w:rFonts w:ascii="Times New Roman" w:hAnsi="Times New Roman"/>
                <w:color w:val="000000"/>
                <w:sz w:val="22"/>
              </w:rPr>
              <w:t>，以实际行动助力基层治理体系和治理能力现代化，为苏</w:t>
            </w:r>
            <w:r>
              <w:rPr>
                <w:rFonts w:ascii="Times New Roman" w:hAnsi="Times New Roman"/>
                <w:color w:val="000000"/>
                <w:sz w:val="22"/>
              </w:rPr>
              <w:t>州加快建设社会主义现代化强市提供坚强组织保证。紧紧围绕模范机关建设和勤</w:t>
            </w:r>
            <w:proofErr w:type="gramStart"/>
            <w:r>
              <w:rPr>
                <w:rFonts w:ascii="Times New Roman" w:hAnsi="Times New Roman"/>
                <w:color w:val="000000"/>
                <w:sz w:val="22"/>
              </w:rPr>
              <w:t>廉机关</w:t>
            </w:r>
            <w:proofErr w:type="gramEnd"/>
            <w:r>
              <w:rPr>
                <w:rFonts w:ascii="Times New Roman" w:hAnsi="Times New Roman"/>
                <w:color w:val="000000"/>
                <w:sz w:val="22"/>
              </w:rPr>
              <w:t>建设，在市级机关大力弘扬新时代廉洁文化，</w:t>
            </w:r>
            <w:proofErr w:type="gramStart"/>
            <w:r>
              <w:rPr>
                <w:rFonts w:ascii="Times New Roman" w:hAnsi="Times New Roman"/>
                <w:color w:val="000000"/>
                <w:sz w:val="22"/>
              </w:rPr>
              <w:t>营造崇廉拒腐</w:t>
            </w:r>
            <w:proofErr w:type="gramEnd"/>
            <w:r>
              <w:rPr>
                <w:rFonts w:ascii="Times New Roman" w:hAnsi="Times New Roman"/>
                <w:color w:val="000000"/>
                <w:sz w:val="22"/>
              </w:rPr>
              <w:t>、尚俭戒奢的机关</w:t>
            </w:r>
            <w:proofErr w:type="gramStart"/>
            <w:r>
              <w:rPr>
                <w:rFonts w:ascii="Times New Roman" w:hAnsi="Times New Roman"/>
                <w:color w:val="000000"/>
                <w:sz w:val="22"/>
              </w:rPr>
              <w:t>廉洁文化</w:t>
            </w:r>
            <w:proofErr w:type="gramEnd"/>
            <w:r>
              <w:rPr>
                <w:rFonts w:ascii="Times New Roman" w:hAnsi="Times New Roman"/>
                <w:color w:val="000000"/>
                <w:sz w:val="22"/>
              </w:rPr>
              <w:t>氛围，通过开展情景式、沉浸式等系列警示教育活动，筑牢机关党员干部拒腐防变的思想防线和行为底线。</w:t>
            </w:r>
          </w:p>
        </w:tc>
      </w:tr>
      <w:tr w:rsidR="00903061" w:rsidTr="00BB5789">
        <w:trPr>
          <w:trHeight w:val="4221"/>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项目总目标</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发挥产业创新集群党委政治引领、资源整合、协调推动作用，致力推动组织建在链上、服务沉在链上、资源聚在链上、作用融在链上，切实以高质量党建赋能产业链高质量发展，实现党的建设工作和产业链培育工作</w:t>
            </w:r>
            <w:proofErr w:type="gramStart"/>
            <w:r>
              <w:rPr>
                <w:rFonts w:ascii="Times New Roman" w:hAnsi="Times New Roman"/>
                <w:color w:val="000000"/>
                <w:sz w:val="22"/>
              </w:rPr>
              <w:t>质效双提升</w:t>
            </w:r>
            <w:proofErr w:type="gramEnd"/>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通过大院大所党建联建，搭建平台载体，凝聚各</w:t>
            </w:r>
            <w:r>
              <w:rPr>
                <w:rFonts w:ascii="Times New Roman" w:hAnsi="Times New Roman"/>
                <w:color w:val="000000"/>
                <w:sz w:val="22"/>
              </w:rPr>
              <w:t>方合力，整合各项资源，促进高校、科研院所与企业优势互补、协同创新，推动重大项目深度合作。</w:t>
            </w:r>
            <w:r>
              <w:rPr>
                <w:rFonts w:ascii="Times New Roman" w:hAnsi="Times New Roman"/>
                <w:color w:val="000000"/>
                <w:sz w:val="22"/>
              </w:rPr>
              <w:t>3.</w:t>
            </w:r>
            <w:r>
              <w:rPr>
                <w:rFonts w:ascii="Times New Roman" w:hAnsi="Times New Roman"/>
                <w:color w:val="000000"/>
                <w:sz w:val="22"/>
              </w:rPr>
              <w:t>大力实施高质量党建引领基层治理现代化</w:t>
            </w:r>
            <w:r w:rsidR="004D061C">
              <w:rPr>
                <w:rFonts w:ascii="Times New Roman" w:hAnsi="Times New Roman" w:hint="eastAsia"/>
                <w:color w:val="000000"/>
                <w:kern w:val="0"/>
                <w:sz w:val="20"/>
                <w:szCs w:val="20"/>
              </w:rPr>
              <w:t>“</w:t>
            </w:r>
            <w:r>
              <w:rPr>
                <w:rFonts w:ascii="Times New Roman" w:hAnsi="Times New Roman"/>
                <w:color w:val="000000"/>
                <w:sz w:val="22"/>
              </w:rPr>
              <w:t>根系工程</w:t>
            </w:r>
            <w:r w:rsidR="002D23D3">
              <w:rPr>
                <w:rFonts w:ascii="Times New Roman" w:hAnsi="Times New Roman" w:hint="eastAsia"/>
                <w:color w:val="000000"/>
                <w:sz w:val="22"/>
              </w:rPr>
              <w:t>”</w:t>
            </w:r>
            <w:r>
              <w:rPr>
                <w:rFonts w:ascii="Times New Roman" w:hAnsi="Times New Roman"/>
                <w:color w:val="000000"/>
                <w:sz w:val="22"/>
              </w:rPr>
              <w:t>，发挥机关党组织作用，推动机关人员力量、服务资源</w:t>
            </w:r>
            <w:r w:rsidR="002D23D3">
              <w:rPr>
                <w:rFonts w:ascii="Times New Roman" w:hAnsi="Times New Roman" w:hint="eastAsia"/>
                <w:color w:val="000000"/>
                <w:kern w:val="0"/>
                <w:sz w:val="20"/>
                <w:szCs w:val="20"/>
              </w:rPr>
              <w:t>“</w:t>
            </w:r>
            <w:r>
              <w:rPr>
                <w:rFonts w:ascii="Times New Roman" w:hAnsi="Times New Roman"/>
                <w:color w:val="000000"/>
                <w:sz w:val="22"/>
              </w:rPr>
              <w:t>双下沉</w:t>
            </w:r>
            <w:r w:rsidR="002D23D3">
              <w:rPr>
                <w:rFonts w:ascii="Times New Roman" w:hAnsi="Times New Roman" w:hint="eastAsia"/>
                <w:color w:val="000000"/>
                <w:sz w:val="22"/>
              </w:rPr>
              <w:t>”</w:t>
            </w:r>
            <w:r>
              <w:rPr>
                <w:rFonts w:ascii="Times New Roman" w:hAnsi="Times New Roman"/>
                <w:color w:val="000000"/>
                <w:sz w:val="22"/>
              </w:rPr>
              <w:t>，以实际行动助力基层治理体系和治理能力现代化，为苏州加快建设社会主义现代化强市提供坚强组织保证。</w:t>
            </w:r>
            <w:r>
              <w:rPr>
                <w:rFonts w:ascii="Times New Roman" w:hAnsi="Times New Roman"/>
                <w:color w:val="000000"/>
                <w:sz w:val="22"/>
              </w:rPr>
              <w:t>4.</w:t>
            </w:r>
            <w:r>
              <w:rPr>
                <w:rFonts w:ascii="Times New Roman" w:hAnsi="Times New Roman"/>
                <w:color w:val="000000"/>
                <w:sz w:val="22"/>
              </w:rPr>
              <w:t>为贯彻落实党的二十大精神和中纪委、省市纪委全会精神，认真落实中央《关于加强新时代廉洁文化建设的意见》。</w:t>
            </w:r>
            <w:r>
              <w:rPr>
                <w:rFonts w:ascii="Times New Roman" w:hAnsi="Times New Roman"/>
                <w:color w:val="000000"/>
                <w:sz w:val="22"/>
              </w:rPr>
              <w:t>5.</w:t>
            </w:r>
            <w:r>
              <w:rPr>
                <w:rFonts w:ascii="Times New Roman" w:hAnsi="Times New Roman"/>
                <w:color w:val="000000"/>
                <w:sz w:val="22"/>
              </w:rPr>
              <w:t>深入贯彻落</w:t>
            </w:r>
            <w:proofErr w:type="gramStart"/>
            <w:r>
              <w:rPr>
                <w:rFonts w:ascii="Times New Roman" w:hAnsi="Times New Roman"/>
                <w:color w:val="000000"/>
                <w:sz w:val="22"/>
              </w:rPr>
              <w:t>实习近</w:t>
            </w:r>
            <w:proofErr w:type="gramEnd"/>
            <w:r>
              <w:rPr>
                <w:rFonts w:ascii="Times New Roman" w:hAnsi="Times New Roman"/>
                <w:color w:val="000000"/>
                <w:sz w:val="22"/>
              </w:rPr>
              <w:t>平总书记关于群团工作的重要思想，切实保持和增强政治性、先进性、群众性，把握</w:t>
            </w:r>
            <w:r w:rsidR="004D061C">
              <w:rPr>
                <w:rFonts w:ascii="Times New Roman" w:hAnsi="Times New Roman" w:hint="eastAsia"/>
                <w:color w:val="000000"/>
                <w:kern w:val="0"/>
                <w:sz w:val="20"/>
                <w:szCs w:val="20"/>
              </w:rPr>
              <w:t>“</w:t>
            </w:r>
            <w:r>
              <w:rPr>
                <w:rFonts w:ascii="Times New Roman" w:hAnsi="Times New Roman"/>
                <w:color w:val="000000"/>
                <w:sz w:val="22"/>
              </w:rPr>
              <w:t>争当表率、争做示</w:t>
            </w:r>
            <w:r>
              <w:rPr>
                <w:rFonts w:ascii="Times New Roman" w:hAnsi="Times New Roman"/>
                <w:color w:val="000000"/>
                <w:sz w:val="22"/>
              </w:rPr>
              <w:t>范、走在前列</w:t>
            </w:r>
            <w:r w:rsidR="002D23D3">
              <w:rPr>
                <w:rFonts w:ascii="Times New Roman" w:hAnsi="Times New Roman" w:hint="eastAsia"/>
                <w:color w:val="000000"/>
                <w:sz w:val="22"/>
              </w:rPr>
              <w:t>”</w:t>
            </w:r>
            <w:r>
              <w:rPr>
                <w:rFonts w:ascii="Times New Roman" w:hAnsi="Times New Roman"/>
                <w:color w:val="000000"/>
                <w:sz w:val="22"/>
              </w:rPr>
              <w:t>总要求，以大抓基层基础为导向，着力提升组织力、引领力、服务力和大局贡献度，团结带领市级机关群团组织为谱写</w:t>
            </w:r>
            <w:r w:rsidR="002D23D3">
              <w:rPr>
                <w:rFonts w:ascii="Times New Roman" w:hAnsi="Times New Roman" w:hint="eastAsia"/>
                <w:color w:val="000000"/>
                <w:kern w:val="0"/>
                <w:sz w:val="20"/>
                <w:szCs w:val="20"/>
              </w:rPr>
              <w:t>“</w:t>
            </w:r>
            <w:r>
              <w:rPr>
                <w:rFonts w:ascii="Times New Roman" w:hAnsi="Times New Roman"/>
                <w:color w:val="000000"/>
                <w:sz w:val="22"/>
              </w:rPr>
              <w:t>强富美高</w:t>
            </w:r>
            <w:r w:rsidR="002D23D3">
              <w:rPr>
                <w:rFonts w:ascii="Times New Roman" w:hAnsi="Times New Roman" w:hint="eastAsia"/>
                <w:color w:val="000000"/>
                <w:sz w:val="22"/>
              </w:rPr>
              <w:t>”</w:t>
            </w:r>
            <w:r>
              <w:rPr>
                <w:rFonts w:ascii="Times New Roman" w:hAnsi="Times New Roman"/>
                <w:color w:val="000000"/>
                <w:sz w:val="22"/>
              </w:rPr>
              <w:t>新苏州现代化建设新篇章贡献力量。</w:t>
            </w:r>
          </w:p>
        </w:tc>
      </w:tr>
      <w:tr w:rsidR="00903061" w:rsidTr="00BB5789">
        <w:trPr>
          <w:trHeight w:val="4193"/>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lastRenderedPageBreak/>
              <w:t>年度绩效目标</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left"/>
              <w:rPr>
                <w:rFonts w:ascii="Times New Roman" w:hAnsi="Times New Roman"/>
                <w:color w:val="000000"/>
                <w:sz w:val="22"/>
              </w:rPr>
            </w:pPr>
            <w:r>
              <w:rPr>
                <w:rFonts w:ascii="Times New Roman" w:hAnsi="Times New Roman"/>
                <w:color w:val="000000"/>
                <w:sz w:val="22"/>
              </w:rPr>
              <w:t>1.2023</w:t>
            </w:r>
            <w:r>
              <w:rPr>
                <w:rFonts w:ascii="Times New Roman" w:hAnsi="Times New Roman"/>
                <w:color w:val="000000"/>
                <w:sz w:val="22"/>
              </w:rPr>
              <w:t>年</w:t>
            </w:r>
            <w:r>
              <w:rPr>
                <w:rFonts w:ascii="Times New Roman" w:hAnsi="Times New Roman"/>
                <w:color w:val="000000"/>
                <w:sz w:val="22"/>
              </w:rPr>
              <w:t>3</w:t>
            </w:r>
            <w:r>
              <w:rPr>
                <w:rFonts w:ascii="Times New Roman" w:hAnsi="Times New Roman"/>
                <w:color w:val="000000"/>
                <w:sz w:val="22"/>
              </w:rPr>
              <w:t>月，市级机关工委指导成立</w:t>
            </w:r>
            <w:r>
              <w:rPr>
                <w:rFonts w:ascii="Times New Roman" w:hAnsi="Times New Roman"/>
                <w:color w:val="000000"/>
                <w:sz w:val="22"/>
              </w:rPr>
              <w:t>25</w:t>
            </w:r>
            <w:r>
              <w:rPr>
                <w:rFonts w:ascii="Times New Roman" w:hAnsi="Times New Roman"/>
                <w:color w:val="000000"/>
                <w:sz w:val="22"/>
              </w:rPr>
              <w:t>个产业创新集群党委，为更好展示产业创新集群党委工作成效，拟于</w:t>
            </w:r>
            <w:r>
              <w:rPr>
                <w:rFonts w:ascii="Times New Roman" w:hAnsi="Times New Roman"/>
                <w:color w:val="000000"/>
                <w:sz w:val="22"/>
              </w:rPr>
              <w:t>2024</w:t>
            </w:r>
            <w:r>
              <w:rPr>
                <w:rFonts w:ascii="Times New Roman" w:hAnsi="Times New Roman"/>
                <w:color w:val="000000"/>
                <w:sz w:val="22"/>
              </w:rPr>
              <w:t>年每季度开展一次产业创新集群党委</w:t>
            </w:r>
            <w:r w:rsidR="00BB5789">
              <w:rPr>
                <w:rFonts w:ascii="Times New Roman" w:hAnsi="Times New Roman" w:hint="eastAsia"/>
                <w:color w:val="000000"/>
                <w:kern w:val="0"/>
                <w:sz w:val="20"/>
                <w:szCs w:val="20"/>
              </w:rPr>
              <w:t>“</w:t>
            </w:r>
            <w:r>
              <w:rPr>
                <w:rFonts w:ascii="Times New Roman" w:hAnsi="Times New Roman"/>
                <w:color w:val="000000"/>
                <w:sz w:val="22"/>
              </w:rPr>
              <w:t>互看、互学、互鉴</w:t>
            </w:r>
            <w:r w:rsidR="00BB5789">
              <w:rPr>
                <w:rFonts w:ascii="Times New Roman" w:hAnsi="Times New Roman" w:hint="eastAsia"/>
                <w:color w:val="000000"/>
                <w:sz w:val="22"/>
              </w:rPr>
              <w:t>”</w:t>
            </w:r>
            <w:r>
              <w:rPr>
                <w:rFonts w:ascii="Times New Roman" w:hAnsi="Times New Roman"/>
                <w:color w:val="000000"/>
                <w:sz w:val="22"/>
              </w:rPr>
              <w:t>活动。</w:t>
            </w:r>
            <w:r>
              <w:rPr>
                <w:rFonts w:ascii="Times New Roman" w:hAnsi="Times New Roman"/>
                <w:color w:val="000000"/>
                <w:sz w:val="22"/>
              </w:rPr>
              <w:t>2.</w:t>
            </w:r>
            <w:r>
              <w:rPr>
                <w:rFonts w:ascii="Times New Roman" w:hAnsi="Times New Roman"/>
                <w:color w:val="000000"/>
                <w:sz w:val="22"/>
              </w:rPr>
              <w:t>市级机关工委指导并会同市科技局协调</w:t>
            </w:r>
            <w:r>
              <w:rPr>
                <w:rFonts w:ascii="Times New Roman" w:hAnsi="Times New Roman"/>
                <w:color w:val="000000"/>
                <w:sz w:val="22"/>
              </w:rPr>
              <w:t>35</w:t>
            </w:r>
            <w:r>
              <w:rPr>
                <w:rFonts w:ascii="Times New Roman" w:hAnsi="Times New Roman"/>
                <w:color w:val="000000"/>
                <w:sz w:val="22"/>
              </w:rPr>
              <w:t>家科研院所打造</w:t>
            </w:r>
            <w:r w:rsidR="00BB5789">
              <w:rPr>
                <w:rFonts w:ascii="Times New Roman" w:hAnsi="Times New Roman" w:hint="eastAsia"/>
                <w:color w:val="000000"/>
                <w:kern w:val="0"/>
                <w:sz w:val="20"/>
                <w:szCs w:val="20"/>
              </w:rPr>
              <w:t>“</w:t>
            </w:r>
            <w:r>
              <w:rPr>
                <w:rFonts w:ascii="Times New Roman" w:hAnsi="Times New Roman"/>
                <w:color w:val="000000"/>
                <w:sz w:val="22"/>
              </w:rPr>
              <w:t>大院大所</w:t>
            </w:r>
            <w:r w:rsidR="00BB5789">
              <w:rPr>
                <w:rFonts w:ascii="Times New Roman" w:hAnsi="Times New Roman" w:hint="eastAsia"/>
                <w:color w:val="000000"/>
                <w:sz w:val="22"/>
              </w:rPr>
              <w:t>”</w:t>
            </w:r>
            <w:r>
              <w:rPr>
                <w:rFonts w:ascii="Times New Roman" w:hAnsi="Times New Roman"/>
                <w:color w:val="000000"/>
                <w:sz w:val="22"/>
              </w:rPr>
              <w:t>党建联盟，推动开展跨单位、跨学科项目合作</w:t>
            </w:r>
            <w:r>
              <w:rPr>
                <w:rFonts w:ascii="Times New Roman" w:hAnsi="Times New Roman"/>
                <w:color w:val="000000"/>
                <w:sz w:val="22"/>
              </w:rPr>
              <w:t>747</w:t>
            </w:r>
            <w:r>
              <w:rPr>
                <w:rFonts w:ascii="Times New Roman" w:hAnsi="Times New Roman"/>
                <w:color w:val="000000"/>
                <w:sz w:val="22"/>
              </w:rPr>
              <w:t>项。为深入推进大院大所党建联建，拟组织开展</w:t>
            </w:r>
            <w:r w:rsidR="00BB5789">
              <w:rPr>
                <w:rFonts w:ascii="Times New Roman" w:hAnsi="Times New Roman" w:hint="eastAsia"/>
                <w:color w:val="000000"/>
                <w:kern w:val="0"/>
                <w:sz w:val="20"/>
                <w:szCs w:val="20"/>
              </w:rPr>
              <w:t>“</w:t>
            </w:r>
            <w:r>
              <w:rPr>
                <w:rFonts w:ascii="Times New Roman" w:hAnsi="Times New Roman"/>
                <w:color w:val="000000"/>
                <w:sz w:val="22"/>
              </w:rPr>
              <w:t>大院大所</w:t>
            </w:r>
            <w:r w:rsidR="00BB5789">
              <w:rPr>
                <w:rFonts w:ascii="Times New Roman" w:hAnsi="Times New Roman" w:hint="eastAsia"/>
                <w:color w:val="000000"/>
                <w:sz w:val="22"/>
              </w:rPr>
              <w:t>”</w:t>
            </w:r>
            <w:r>
              <w:rPr>
                <w:rFonts w:ascii="Times New Roman" w:hAnsi="Times New Roman"/>
                <w:color w:val="000000"/>
                <w:sz w:val="22"/>
              </w:rPr>
              <w:t>党建联建成员单位与各地高校、企业和科研院所开展交流共建活动。</w:t>
            </w:r>
            <w:r>
              <w:rPr>
                <w:rFonts w:ascii="Times New Roman" w:hAnsi="Times New Roman"/>
                <w:color w:val="000000"/>
                <w:sz w:val="22"/>
              </w:rPr>
              <w:t>3.</w:t>
            </w:r>
            <w:r>
              <w:rPr>
                <w:rFonts w:ascii="Times New Roman" w:hAnsi="Times New Roman"/>
                <w:color w:val="000000"/>
                <w:sz w:val="22"/>
              </w:rPr>
              <w:t>通过开展</w:t>
            </w:r>
            <w:r w:rsidR="00BB5789">
              <w:rPr>
                <w:rFonts w:ascii="Times New Roman" w:hAnsi="Times New Roman" w:hint="eastAsia"/>
                <w:color w:val="000000"/>
                <w:kern w:val="0"/>
                <w:sz w:val="20"/>
                <w:szCs w:val="20"/>
              </w:rPr>
              <w:t>“</w:t>
            </w:r>
            <w:r>
              <w:rPr>
                <w:rFonts w:ascii="Times New Roman" w:hAnsi="Times New Roman"/>
                <w:color w:val="000000"/>
                <w:sz w:val="22"/>
              </w:rPr>
              <w:t>在职党员进社区</w:t>
            </w:r>
            <w:r w:rsidR="00BB5789">
              <w:rPr>
                <w:rFonts w:ascii="Times New Roman" w:hAnsi="Times New Roman" w:hint="eastAsia"/>
                <w:color w:val="000000"/>
                <w:sz w:val="22"/>
              </w:rPr>
              <w:t>”</w:t>
            </w:r>
            <w:r>
              <w:rPr>
                <w:rFonts w:ascii="Times New Roman" w:hAnsi="Times New Roman"/>
                <w:color w:val="000000"/>
                <w:sz w:val="22"/>
              </w:rPr>
              <w:t>活动，组织机关党组织和志愿服务队开展集中服务，帮助解决居民群众</w:t>
            </w:r>
            <w:r w:rsidR="00BB5789">
              <w:rPr>
                <w:rFonts w:ascii="Times New Roman" w:hAnsi="Times New Roman" w:hint="eastAsia"/>
                <w:color w:val="000000"/>
                <w:kern w:val="0"/>
                <w:sz w:val="20"/>
                <w:szCs w:val="20"/>
              </w:rPr>
              <w:t>“</w:t>
            </w:r>
            <w:r>
              <w:rPr>
                <w:rFonts w:ascii="Times New Roman" w:hAnsi="Times New Roman"/>
                <w:color w:val="000000"/>
                <w:sz w:val="22"/>
              </w:rPr>
              <w:t>急难愁盼</w:t>
            </w:r>
            <w:r w:rsidR="00BB5789">
              <w:rPr>
                <w:rFonts w:ascii="Times New Roman" w:hAnsi="Times New Roman" w:hint="eastAsia"/>
                <w:color w:val="000000"/>
                <w:sz w:val="22"/>
              </w:rPr>
              <w:t>”</w:t>
            </w:r>
            <w:r>
              <w:rPr>
                <w:rFonts w:ascii="Times New Roman" w:hAnsi="Times New Roman"/>
                <w:color w:val="000000"/>
                <w:sz w:val="22"/>
              </w:rPr>
              <w:t>问题，切实</w:t>
            </w:r>
            <w:r>
              <w:rPr>
                <w:rFonts w:ascii="Times New Roman" w:hAnsi="Times New Roman"/>
                <w:color w:val="000000"/>
                <w:sz w:val="22"/>
              </w:rPr>
              <w:t>提高机关党组织服务基层、服务企业、服务群众工作实效。</w:t>
            </w:r>
            <w:r>
              <w:rPr>
                <w:rFonts w:ascii="Times New Roman" w:hAnsi="Times New Roman"/>
                <w:color w:val="000000"/>
                <w:sz w:val="22"/>
              </w:rPr>
              <w:t>4.</w:t>
            </w:r>
            <w:r>
              <w:rPr>
                <w:rFonts w:ascii="Times New Roman" w:hAnsi="Times New Roman"/>
                <w:color w:val="000000"/>
                <w:sz w:val="22"/>
              </w:rPr>
              <w:t>在市级机关大力弘扬新时代廉洁文化，</w:t>
            </w:r>
            <w:proofErr w:type="gramStart"/>
            <w:r>
              <w:rPr>
                <w:rFonts w:ascii="Times New Roman" w:hAnsi="Times New Roman"/>
                <w:color w:val="000000"/>
                <w:sz w:val="22"/>
              </w:rPr>
              <w:t>营造崇廉拒腐</w:t>
            </w:r>
            <w:proofErr w:type="gramEnd"/>
            <w:r>
              <w:rPr>
                <w:rFonts w:ascii="Times New Roman" w:hAnsi="Times New Roman"/>
                <w:color w:val="000000"/>
                <w:sz w:val="22"/>
              </w:rPr>
              <w:t>、尚俭戒奢的机关</w:t>
            </w:r>
            <w:proofErr w:type="gramStart"/>
            <w:r>
              <w:rPr>
                <w:rFonts w:ascii="Times New Roman" w:hAnsi="Times New Roman"/>
                <w:color w:val="000000"/>
                <w:sz w:val="22"/>
              </w:rPr>
              <w:t>廉洁文化</w:t>
            </w:r>
            <w:proofErr w:type="gramEnd"/>
            <w:r>
              <w:rPr>
                <w:rFonts w:ascii="Times New Roman" w:hAnsi="Times New Roman"/>
                <w:color w:val="000000"/>
                <w:sz w:val="22"/>
              </w:rPr>
              <w:t>氛围，通过开展情景式、沉浸式等系列警示教育活动，筑牢机关党员干部拒腐防变的思想防线和行为底线。</w:t>
            </w:r>
            <w:r>
              <w:rPr>
                <w:rFonts w:ascii="Times New Roman" w:hAnsi="Times New Roman"/>
                <w:color w:val="000000"/>
                <w:sz w:val="22"/>
              </w:rPr>
              <w:t>5.</w:t>
            </w:r>
            <w:r>
              <w:rPr>
                <w:rFonts w:ascii="Times New Roman" w:hAnsi="Times New Roman"/>
                <w:color w:val="000000"/>
                <w:sz w:val="22"/>
              </w:rPr>
              <w:t>为充分发挥市级机关在构建更高水平全民健身公共服务体系中的示范引领作用，组织机关妇女参加丽人健康行活动，为市级机关妇女职工提供一个愉悦身心、增进感情的互动平台，营造健康向上的良好氛围。</w:t>
            </w:r>
          </w:p>
        </w:tc>
      </w:tr>
      <w:tr w:rsidR="00903061" w:rsidTr="00BB5789">
        <w:trPr>
          <w:trHeight w:val="8263"/>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项目实施情况</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为贯彻落实</w:t>
            </w:r>
            <w:r w:rsidR="005F7B74">
              <w:rPr>
                <w:rFonts w:ascii="Times New Roman" w:hAnsi="Times New Roman" w:hint="eastAsia"/>
                <w:color w:val="000000"/>
                <w:kern w:val="0"/>
                <w:sz w:val="20"/>
                <w:szCs w:val="20"/>
              </w:rPr>
              <w:t>“</w:t>
            </w:r>
            <w:r>
              <w:rPr>
                <w:rFonts w:ascii="Times New Roman" w:hAnsi="Times New Roman"/>
                <w:color w:val="000000"/>
                <w:sz w:val="22"/>
              </w:rPr>
              <w:t>因地制宜发展新质生产力</w:t>
            </w:r>
            <w:r w:rsidR="00BB5789">
              <w:rPr>
                <w:rFonts w:ascii="Times New Roman" w:hAnsi="Times New Roman" w:hint="eastAsia"/>
                <w:color w:val="000000"/>
                <w:sz w:val="22"/>
              </w:rPr>
              <w:t>”</w:t>
            </w:r>
            <w:r>
              <w:rPr>
                <w:rFonts w:ascii="Times New Roman" w:hAnsi="Times New Roman"/>
                <w:color w:val="000000"/>
                <w:sz w:val="22"/>
              </w:rPr>
              <w:t>重大要求，聚焦苏州</w:t>
            </w:r>
            <w:r w:rsidR="005F7B74">
              <w:rPr>
                <w:rFonts w:ascii="Times New Roman" w:hAnsi="Times New Roman" w:hint="eastAsia"/>
                <w:color w:val="000000"/>
                <w:kern w:val="0"/>
                <w:sz w:val="20"/>
                <w:szCs w:val="20"/>
              </w:rPr>
              <w:t>“</w:t>
            </w:r>
            <w:r>
              <w:rPr>
                <w:rFonts w:ascii="Times New Roman" w:hAnsi="Times New Roman"/>
                <w:color w:val="000000"/>
                <w:sz w:val="22"/>
              </w:rPr>
              <w:t>1030</w:t>
            </w:r>
            <w:r w:rsidR="00BB5789">
              <w:rPr>
                <w:rFonts w:ascii="Times New Roman" w:hAnsi="Times New Roman" w:hint="eastAsia"/>
                <w:color w:val="000000"/>
                <w:sz w:val="22"/>
              </w:rPr>
              <w:t>”</w:t>
            </w:r>
            <w:r>
              <w:rPr>
                <w:rFonts w:ascii="Times New Roman" w:hAnsi="Times New Roman"/>
                <w:color w:val="000000"/>
                <w:sz w:val="22"/>
              </w:rPr>
              <w:t>产业体系建设需要，市委市级机关工委积极链接省级机关资源，开展省级机关</w:t>
            </w:r>
            <w:r w:rsidR="005F7B74">
              <w:rPr>
                <w:rFonts w:ascii="Times New Roman" w:hAnsi="Times New Roman" w:hint="eastAsia"/>
                <w:color w:val="000000"/>
                <w:kern w:val="0"/>
                <w:sz w:val="20"/>
                <w:szCs w:val="20"/>
              </w:rPr>
              <w:t>“</w:t>
            </w:r>
            <w:r>
              <w:rPr>
                <w:rFonts w:ascii="Times New Roman" w:hAnsi="Times New Roman"/>
                <w:color w:val="000000"/>
                <w:sz w:val="22"/>
              </w:rPr>
              <w:t>服务高质量发展先锋行动队</w:t>
            </w:r>
            <w:r w:rsidR="00BB5789">
              <w:rPr>
                <w:rFonts w:ascii="Times New Roman" w:hAnsi="Times New Roman" w:hint="eastAsia"/>
                <w:color w:val="000000"/>
                <w:sz w:val="22"/>
              </w:rPr>
              <w:t>”</w:t>
            </w:r>
            <w:r>
              <w:rPr>
                <w:rFonts w:ascii="Times New Roman" w:hAnsi="Times New Roman"/>
                <w:color w:val="000000"/>
                <w:sz w:val="22"/>
              </w:rPr>
              <w:t>惠企为民苏州行活动。通过市级机关部门的力量助力各板块的产业发展。</w:t>
            </w:r>
            <w:r>
              <w:rPr>
                <w:rFonts w:ascii="Times New Roman" w:hAnsi="Times New Roman"/>
                <w:color w:val="000000"/>
                <w:sz w:val="22"/>
              </w:rPr>
              <w:t>7</w:t>
            </w:r>
            <w:r>
              <w:rPr>
                <w:rFonts w:ascii="Times New Roman" w:hAnsi="Times New Roman"/>
                <w:color w:val="000000"/>
                <w:sz w:val="22"/>
              </w:rPr>
              <w:t>月</w:t>
            </w:r>
            <w:r>
              <w:rPr>
                <w:rFonts w:ascii="Times New Roman" w:hAnsi="Times New Roman"/>
                <w:color w:val="000000"/>
                <w:sz w:val="22"/>
              </w:rPr>
              <w:t>25</w:t>
            </w:r>
            <w:r>
              <w:rPr>
                <w:rFonts w:ascii="Times New Roman" w:hAnsi="Times New Roman"/>
                <w:color w:val="000000"/>
                <w:sz w:val="22"/>
              </w:rPr>
              <w:t>至</w:t>
            </w:r>
            <w:r>
              <w:rPr>
                <w:rFonts w:ascii="Times New Roman" w:hAnsi="Times New Roman"/>
                <w:color w:val="000000"/>
                <w:sz w:val="22"/>
              </w:rPr>
              <w:t>26</w:t>
            </w:r>
            <w:r>
              <w:rPr>
                <w:rFonts w:ascii="Times New Roman" w:hAnsi="Times New Roman"/>
                <w:color w:val="000000"/>
                <w:sz w:val="22"/>
              </w:rPr>
              <w:t>日，在省委省级机关工委支持推动下，</w:t>
            </w:r>
            <w:r>
              <w:rPr>
                <w:rFonts w:ascii="Times New Roman" w:hAnsi="Times New Roman"/>
                <w:color w:val="000000"/>
                <w:sz w:val="22"/>
              </w:rPr>
              <w:t>19</w:t>
            </w:r>
            <w:r>
              <w:rPr>
                <w:rFonts w:ascii="Times New Roman" w:hAnsi="Times New Roman"/>
                <w:color w:val="000000"/>
                <w:sz w:val="22"/>
              </w:rPr>
              <w:t>个省级机关</w:t>
            </w:r>
            <w:r>
              <w:rPr>
                <w:rFonts w:ascii="Times New Roman" w:hAnsi="Times New Roman"/>
                <w:color w:val="000000"/>
                <w:sz w:val="22"/>
              </w:rPr>
              <w:t>29</w:t>
            </w:r>
            <w:r>
              <w:rPr>
                <w:rFonts w:ascii="Times New Roman" w:hAnsi="Times New Roman"/>
                <w:color w:val="000000"/>
                <w:sz w:val="22"/>
              </w:rPr>
              <w:t>个先锋行动队党支部与苏州</w:t>
            </w:r>
            <w:r>
              <w:rPr>
                <w:rFonts w:ascii="Times New Roman" w:hAnsi="Times New Roman"/>
                <w:color w:val="000000"/>
                <w:sz w:val="22"/>
              </w:rPr>
              <w:t>5</w:t>
            </w:r>
            <w:r>
              <w:rPr>
                <w:rFonts w:ascii="Times New Roman" w:hAnsi="Times New Roman"/>
                <w:color w:val="000000"/>
                <w:sz w:val="22"/>
              </w:rPr>
              <w:t>个板块的</w:t>
            </w:r>
            <w:r>
              <w:rPr>
                <w:rFonts w:ascii="Times New Roman" w:hAnsi="Times New Roman"/>
                <w:color w:val="000000"/>
                <w:sz w:val="22"/>
              </w:rPr>
              <w:t>22</w:t>
            </w:r>
            <w:r>
              <w:rPr>
                <w:rFonts w:ascii="Times New Roman" w:hAnsi="Times New Roman"/>
                <w:color w:val="000000"/>
                <w:sz w:val="22"/>
              </w:rPr>
              <w:t>个产业链牵头部门、</w:t>
            </w:r>
            <w:r>
              <w:rPr>
                <w:rFonts w:ascii="Times New Roman" w:hAnsi="Times New Roman"/>
                <w:color w:val="000000"/>
                <w:sz w:val="22"/>
              </w:rPr>
              <w:t>31</w:t>
            </w:r>
            <w:r>
              <w:rPr>
                <w:rFonts w:ascii="Times New Roman" w:hAnsi="Times New Roman"/>
                <w:color w:val="000000"/>
                <w:sz w:val="22"/>
              </w:rPr>
              <w:t>家企业进行了三方结对签约，明确开展蹲点调研、政策辅导、惠企服务等</w:t>
            </w:r>
            <w:r>
              <w:rPr>
                <w:rFonts w:ascii="Times New Roman" w:hAnsi="Times New Roman"/>
                <w:color w:val="000000"/>
                <w:sz w:val="22"/>
              </w:rPr>
              <w:t>5</w:t>
            </w:r>
            <w:r>
              <w:rPr>
                <w:rFonts w:ascii="Times New Roman" w:hAnsi="Times New Roman"/>
                <w:color w:val="000000"/>
                <w:sz w:val="22"/>
              </w:rPr>
              <w:t>项结对工作举措，共同启动</w:t>
            </w:r>
            <w:r>
              <w:rPr>
                <w:rFonts w:ascii="Times New Roman" w:hAnsi="Times New Roman"/>
                <w:color w:val="000000"/>
                <w:sz w:val="22"/>
              </w:rPr>
              <w:t>34</w:t>
            </w:r>
            <w:r>
              <w:rPr>
                <w:rFonts w:ascii="Times New Roman" w:hAnsi="Times New Roman"/>
                <w:color w:val="000000"/>
                <w:sz w:val="22"/>
              </w:rPr>
              <w:t>个产业链党建项目。市委刘小涛书记专门批示</w:t>
            </w:r>
            <w:r w:rsidR="005F7B74">
              <w:rPr>
                <w:rFonts w:ascii="Times New Roman" w:hAnsi="Times New Roman" w:hint="eastAsia"/>
                <w:color w:val="000000"/>
                <w:kern w:val="0"/>
                <w:sz w:val="20"/>
                <w:szCs w:val="20"/>
              </w:rPr>
              <w:t>“</w:t>
            </w:r>
            <w:r>
              <w:rPr>
                <w:rFonts w:ascii="Times New Roman" w:hAnsi="Times New Roman"/>
                <w:color w:val="000000"/>
                <w:sz w:val="22"/>
              </w:rPr>
              <w:t>感谢省直机关工委对苏</w:t>
            </w:r>
            <w:r>
              <w:rPr>
                <w:rFonts w:ascii="Times New Roman" w:hAnsi="Times New Roman"/>
                <w:color w:val="000000"/>
                <w:sz w:val="22"/>
              </w:rPr>
              <w:t>州的关心、支持。深入基层、服务企业的作风值得学习</w:t>
            </w:r>
            <w:r w:rsidR="00BB5789">
              <w:rPr>
                <w:rFonts w:ascii="Times New Roman" w:hAnsi="Times New Roman" w:hint="eastAsia"/>
                <w:color w:val="000000"/>
                <w:sz w:val="22"/>
              </w:rPr>
              <w:t>”</w:t>
            </w:r>
            <w:r>
              <w:rPr>
                <w:rFonts w:ascii="Times New Roman" w:hAnsi="Times New Roman"/>
                <w:color w:val="000000"/>
                <w:sz w:val="22"/>
              </w:rPr>
              <w:t>。紧扣产业发展需求，先后赴吴中区机器人产业园、工业园区</w:t>
            </w:r>
            <w:r>
              <w:rPr>
                <w:rFonts w:ascii="Times New Roman" w:hAnsi="Times New Roman"/>
                <w:color w:val="000000"/>
                <w:sz w:val="22"/>
              </w:rPr>
              <w:t>2.5</w:t>
            </w:r>
            <w:r>
              <w:rPr>
                <w:rFonts w:ascii="Times New Roman" w:hAnsi="Times New Roman"/>
                <w:color w:val="000000"/>
                <w:sz w:val="22"/>
              </w:rPr>
              <w:t>产业园、吴江区高级人才太湖培训中心、常熟市直播产业党群服务中心等产业园区和惠企为民服务点集中开展了</w:t>
            </w:r>
            <w:r>
              <w:rPr>
                <w:rFonts w:ascii="Times New Roman" w:hAnsi="Times New Roman"/>
                <w:color w:val="000000"/>
                <w:sz w:val="22"/>
              </w:rPr>
              <w:t>4</w:t>
            </w:r>
            <w:r>
              <w:rPr>
                <w:rFonts w:ascii="Times New Roman" w:hAnsi="Times New Roman"/>
                <w:color w:val="000000"/>
                <w:sz w:val="22"/>
              </w:rPr>
              <w:t>场</w:t>
            </w:r>
            <w:r w:rsidR="005F7B74">
              <w:rPr>
                <w:rFonts w:ascii="Times New Roman" w:hAnsi="Times New Roman" w:hint="eastAsia"/>
                <w:color w:val="000000"/>
                <w:kern w:val="0"/>
                <w:sz w:val="20"/>
                <w:szCs w:val="20"/>
              </w:rPr>
              <w:t>“</w:t>
            </w:r>
            <w:r>
              <w:rPr>
                <w:rFonts w:ascii="Times New Roman" w:hAnsi="Times New Roman"/>
                <w:color w:val="000000"/>
                <w:sz w:val="22"/>
              </w:rPr>
              <w:t>先锋助企行</w:t>
            </w:r>
            <w:r w:rsidR="00BB5789">
              <w:rPr>
                <w:rFonts w:ascii="Times New Roman" w:hAnsi="Times New Roman" w:hint="eastAsia"/>
                <w:color w:val="000000"/>
                <w:sz w:val="22"/>
              </w:rPr>
              <w:t>”</w:t>
            </w:r>
            <w:r>
              <w:rPr>
                <w:rFonts w:ascii="Times New Roman" w:hAnsi="Times New Roman"/>
                <w:color w:val="000000"/>
                <w:sz w:val="22"/>
              </w:rPr>
              <w:t>互看、互学、</w:t>
            </w:r>
            <w:proofErr w:type="gramStart"/>
            <w:r>
              <w:rPr>
                <w:rFonts w:ascii="Times New Roman" w:hAnsi="Times New Roman"/>
                <w:color w:val="000000"/>
                <w:sz w:val="22"/>
              </w:rPr>
              <w:t>互鉴活动</w:t>
            </w:r>
            <w:proofErr w:type="gramEnd"/>
            <w:r>
              <w:rPr>
                <w:rFonts w:ascii="Times New Roman" w:hAnsi="Times New Roman"/>
                <w:color w:val="000000"/>
                <w:sz w:val="22"/>
              </w:rPr>
              <w:t>。</w:t>
            </w:r>
            <w:r>
              <w:rPr>
                <w:rFonts w:ascii="Times New Roman" w:hAnsi="Times New Roman"/>
                <w:color w:val="000000"/>
                <w:sz w:val="22"/>
              </w:rPr>
              <w:t xml:space="preserve">2. </w:t>
            </w:r>
            <w:r>
              <w:rPr>
                <w:rFonts w:ascii="Times New Roman" w:hAnsi="Times New Roman"/>
                <w:color w:val="000000"/>
                <w:sz w:val="22"/>
              </w:rPr>
              <w:t>发挥大院大所党建联盟优势，加速技术、人才、项目、资金、载体等创新要素集聚，更好为全市产业发展赋能添力。</w:t>
            </w:r>
            <w:r>
              <w:rPr>
                <w:rFonts w:ascii="Times New Roman" w:hAnsi="Times New Roman"/>
                <w:color w:val="000000"/>
                <w:sz w:val="22"/>
              </w:rPr>
              <w:t>2024</w:t>
            </w:r>
            <w:r>
              <w:rPr>
                <w:rFonts w:ascii="Times New Roman" w:hAnsi="Times New Roman"/>
                <w:color w:val="000000"/>
                <w:sz w:val="22"/>
              </w:rPr>
              <w:t>年</w:t>
            </w:r>
            <w:r>
              <w:rPr>
                <w:rFonts w:ascii="Times New Roman" w:hAnsi="Times New Roman"/>
                <w:color w:val="000000"/>
                <w:sz w:val="22"/>
              </w:rPr>
              <w:t>7</w:t>
            </w:r>
            <w:r>
              <w:rPr>
                <w:rFonts w:ascii="Times New Roman" w:hAnsi="Times New Roman"/>
                <w:color w:val="000000"/>
                <w:sz w:val="22"/>
              </w:rPr>
              <w:t>月</w:t>
            </w:r>
            <w:r>
              <w:rPr>
                <w:rFonts w:ascii="Times New Roman" w:hAnsi="Times New Roman"/>
                <w:color w:val="000000"/>
                <w:sz w:val="22"/>
              </w:rPr>
              <w:t>9</w:t>
            </w:r>
            <w:r>
              <w:rPr>
                <w:rFonts w:ascii="Times New Roman" w:hAnsi="Times New Roman"/>
                <w:color w:val="000000"/>
                <w:sz w:val="22"/>
              </w:rPr>
              <w:t>日下午，会同市科技局、苏州大学共同举办苏州市大院大所党建联盟</w:t>
            </w:r>
            <w:r w:rsidR="005F7B74">
              <w:rPr>
                <w:rFonts w:ascii="Times New Roman" w:hAnsi="Times New Roman" w:hint="eastAsia"/>
                <w:color w:val="000000"/>
                <w:kern w:val="0"/>
                <w:sz w:val="20"/>
                <w:szCs w:val="20"/>
              </w:rPr>
              <w:t>“</w:t>
            </w:r>
            <w:r>
              <w:rPr>
                <w:rFonts w:ascii="Times New Roman" w:hAnsi="Times New Roman"/>
                <w:color w:val="000000"/>
                <w:sz w:val="22"/>
              </w:rPr>
              <w:t>服务企业</w:t>
            </w:r>
            <w:r>
              <w:rPr>
                <w:rFonts w:ascii="Times New Roman" w:hAnsi="Times New Roman"/>
                <w:color w:val="000000"/>
                <w:sz w:val="22"/>
              </w:rPr>
              <w:t xml:space="preserve"> </w:t>
            </w:r>
            <w:r>
              <w:rPr>
                <w:rFonts w:ascii="Times New Roman" w:hAnsi="Times New Roman"/>
                <w:color w:val="000000"/>
                <w:sz w:val="22"/>
              </w:rPr>
              <w:t>赋能产业</w:t>
            </w:r>
            <w:r w:rsidR="00BB5789">
              <w:rPr>
                <w:rFonts w:ascii="Times New Roman" w:hAnsi="Times New Roman" w:hint="eastAsia"/>
                <w:color w:val="000000"/>
                <w:sz w:val="22"/>
              </w:rPr>
              <w:t>”</w:t>
            </w:r>
            <w:r>
              <w:rPr>
                <w:rFonts w:ascii="Times New Roman" w:hAnsi="Times New Roman"/>
                <w:color w:val="000000"/>
                <w:sz w:val="22"/>
              </w:rPr>
              <w:t>对接活动。组织开展主题分享和企业家访谈，并安排了创新联合体</w:t>
            </w:r>
            <w:r>
              <w:rPr>
                <w:rFonts w:ascii="Times New Roman" w:hAnsi="Times New Roman"/>
                <w:color w:val="000000"/>
                <w:sz w:val="22"/>
              </w:rPr>
              <w:t>龙头企业现场参访。</w:t>
            </w:r>
            <w:r>
              <w:rPr>
                <w:rFonts w:ascii="Times New Roman" w:hAnsi="Times New Roman"/>
                <w:color w:val="000000"/>
                <w:sz w:val="22"/>
              </w:rPr>
              <w:t>3.</w:t>
            </w:r>
            <w:r w:rsidR="005F7B74">
              <w:rPr>
                <w:rFonts w:ascii="Times New Roman" w:hAnsi="Times New Roman" w:hint="eastAsia"/>
                <w:color w:val="000000"/>
                <w:kern w:val="0"/>
                <w:sz w:val="20"/>
                <w:szCs w:val="20"/>
              </w:rPr>
              <w:t>“</w:t>
            </w:r>
            <w:r>
              <w:rPr>
                <w:rFonts w:ascii="Times New Roman" w:hAnsi="Times New Roman"/>
                <w:color w:val="000000"/>
                <w:sz w:val="22"/>
              </w:rPr>
              <w:t>在职党员进社区</w:t>
            </w:r>
            <w:r w:rsidR="00BB5789">
              <w:rPr>
                <w:rFonts w:ascii="Times New Roman" w:hAnsi="Times New Roman" w:hint="eastAsia"/>
                <w:color w:val="000000"/>
                <w:sz w:val="22"/>
              </w:rPr>
              <w:t>”</w:t>
            </w:r>
            <w:r>
              <w:rPr>
                <w:rFonts w:ascii="Times New Roman" w:hAnsi="Times New Roman"/>
                <w:color w:val="000000"/>
                <w:sz w:val="22"/>
              </w:rPr>
              <w:t>集中服务相关经费，调整为指导</w:t>
            </w:r>
            <w:r>
              <w:rPr>
                <w:rFonts w:ascii="Times New Roman" w:hAnsi="Times New Roman"/>
                <w:color w:val="000000"/>
                <w:sz w:val="22"/>
              </w:rPr>
              <w:t>51</w:t>
            </w:r>
            <w:r>
              <w:rPr>
                <w:rFonts w:ascii="Times New Roman" w:hAnsi="Times New Roman"/>
                <w:color w:val="000000"/>
                <w:sz w:val="22"/>
              </w:rPr>
              <w:t>个市级党群阵地进行微改造，同时根据姑苏区党群阵地发挥作用情况和服务需求，为党建阵地补充饮用水、应急药品等消耗品和雨伞、轮椅、血压仪、灭火器等可长期服务群众的物资，共计</w:t>
            </w:r>
            <w:r>
              <w:rPr>
                <w:rFonts w:ascii="Times New Roman" w:hAnsi="Times New Roman"/>
                <w:color w:val="000000"/>
                <w:sz w:val="22"/>
              </w:rPr>
              <w:t>12</w:t>
            </w:r>
            <w:r>
              <w:rPr>
                <w:rFonts w:ascii="Times New Roman" w:hAnsi="Times New Roman"/>
                <w:color w:val="000000"/>
                <w:sz w:val="22"/>
              </w:rPr>
              <w:t>类</w:t>
            </w:r>
            <w:r>
              <w:rPr>
                <w:rFonts w:ascii="Times New Roman" w:hAnsi="Times New Roman"/>
                <w:color w:val="000000"/>
                <w:sz w:val="22"/>
              </w:rPr>
              <w:t>1631</w:t>
            </w:r>
            <w:r>
              <w:rPr>
                <w:rFonts w:ascii="Times New Roman" w:hAnsi="Times New Roman"/>
                <w:color w:val="000000"/>
                <w:sz w:val="22"/>
              </w:rPr>
              <w:t>个（件），</w:t>
            </w:r>
            <w:r>
              <w:rPr>
                <w:rFonts w:ascii="Times New Roman" w:hAnsi="Times New Roman"/>
                <w:color w:val="000000"/>
                <w:sz w:val="22"/>
              </w:rPr>
              <w:t>5</w:t>
            </w:r>
            <w:r>
              <w:rPr>
                <w:rFonts w:ascii="Times New Roman" w:hAnsi="Times New Roman"/>
                <w:color w:val="000000"/>
                <w:sz w:val="22"/>
              </w:rPr>
              <w:t>万余元经费，依次推动各单位党员依托阵地更好开展服务，满足社区居民群众、游客的需求。</w:t>
            </w:r>
            <w:r>
              <w:rPr>
                <w:rFonts w:ascii="Times New Roman" w:hAnsi="Times New Roman"/>
                <w:color w:val="000000"/>
                <w:sz w:val="22"/>
              </w:rPr>
              <w:t>4.</w:t>
            </w:r>
            <w:r>
              <w:rPr>
                <w:rFonts w:ascii="Times New Roman" w:hAnsi="Times New Roman"/>
                <w:color w:val="000000"/>
                <w:sz w:val="22"/>
              </w:rPr>
              <w:t>编印下发《苏州市市级机关党员干部违纪违法案例汇编》（三）</w:t>
            </w:r>
            <w:r>
              <w:rPr>
                <w:rFonts w:ascii="Times New Roman" w:hAnsi="Times New Roman"/>
                <w:color w:val="000000"/>
                <w:sz w:val="22"/>
              </w:rPr>
              <w:t>1400</w:t>
            </w:r>
            <w:r>
              <w:rPr>
                <w:rFonts w:ascii="Times New Roman" w:hAnsi="Times New Roman"/>
                <w:color w:val="000000"/>
                <w:sz w:val="22"/>
              </w:rPr>
              <w:t>余本；</w:t>
            </w:r>
            <w:r>
              <w:rPr>
                <w:rFonts w:ascii="Times New Roman" w:hAnsi="Times New Roman"/>
                <w:color w:val="000000"/>
                <w:sz w:val="22"/>
              </w:rPr>
              <w:t>5-6</w:t>
            </w:r>
            <w:r>
              <w:rPr>
                <w:rFonts w:ascii="Times New Roman" w:hAnsi="Times New Roman"/>
                <w:color w:val="000000"/>
                <w:sz w:val="22"/>
              </w:rPr>
              <w:t>月组织开展两次庭审旁听警示教育，</w:t>
            </w:r>
            <w:r>
              <w:rPr>
                <w:rFonts w:ascii="Times New Roman" w:hAnsi="Times New Roman"/>
                <w:color w:val="000000"/>
                <w:sz w:val="22"/>
              </w:rPr>
              <w:t>100</w:t>
            </w:r>
            <w:r>
              <w:rPr>
                <w:rFonts w:ascii="Times New Roman" w:hAnsi="Times New Roman"/>
                <w:color w:val="000000"/>
                <w:sz w:val="22"/>
              </w:rPr>
              <w:t>余名新提拔、</w:t>
            </w:r>
            <w:r>
              <w:rPr>
                <w:rFonts w:ascii="Times New Roman" w:hAnsi="Times New Roman"/>
                <w:color w:val="000000"/>
                <w:sz w:val="22"/>
              </w:rPr>
              <w:t>80</w:t>
            </w:r>
            <w:r>
              <w:rPr>
                <w:rFonts w:ascii="Times New Roman" w:hAnsi="Times New Roman"/>
                <w:color w:val="000000"/>
                <w:sz w:val="22"/>
              </w:rPr>
              <w:t>后处级干部参加；编印《苏州市市级</w:t>
            </w:r>
            <w:r>
              <w:rPr>
                <w:rFonts w:ascii="Times New Roman" w:hAnsi="Times New Roman"/>
                <w:color w:val="000000"/>
                <w:sz w:val="22"/>
              </w:rPr>
              <w:t>机关部门机关纪委工作实务手册》下发</w:t>
            </w:r>
            <w:r>
              <w:rPr>
                <w:rFonts w:ascii="Times New Roman" w:hAnsi="Times New Roman"/>
                <w:color w:val="000000"/>
                <w:sz w:val="22"/>
              </w:rPr>
              <w:t>60</w:t>
            </w:r>
            <w:r>
              <w:rPr>
                <w:rFonts w:ascii="Times New Roman" w:hAnsi="Times New Roman"/>
                <w:color w:val="000000"/>
                <w:sz w:val="22"/>
              </w:rPr>
              <w:t>余个机关纪委；举办市级机关</w:t>
            </w:r>
            <w:r w:rsidR="005F7B74">
              <w:rPr>
                <w:rFonts w:ascii="Times New Roman" w:hAnsi="Times New Roman" w:hint="eastAsia"/>
                <w:color w:val="000000"/>
                <w:kern w:val="0"/>
                <w:sz w:val="20"/>
                <w:szCs w:val="20"/>
              </w:rPr>
              <w:t>“</w:t>
            </w:r>
            <w:r>
              <w:rPr>
                <w:rFonts w:ascii="Times New Roman" w:hAnsi="Times New Roman"/>
                <w:color w:val="000000"/>
                <w:sz w:val="22"/>
              </w:rPr>
              <w:t>体悟忧乐</w:t>
            </w:r>
            <w:r>
              <w:rPr>
                <w:rFonts w:ascii="Times New Roman" w:hAnsi="Times New Roman"/>
                <w:color w:val="000000"/>
                <w:sz w:val="22"/>
              </w:rPr>
              <w:t xml:space="preserve"> </w:t>
            </w:r>
            <w:r>
              <w:rPr>
                <w:rFonts w:ascii="Times New Roman" w:hAnsi="Times New Roman"/>
                <w:color w:val="000000"/>
                <w:sz w:val="22"/>
              </w:rPr>
              <w:t>勤廉为政</w:t>
            </w:r>
            <w:r w:rsidR="005F7B74">
              <w:rPr>
                <w:rFonts w:ascii="Times New Roman" w:hAnsi="Times New Roman" w:hint="eastAsia"/>
                <w:color w:val="000000"/>
                <w:sz w:val="22"/>
              </w:rPr>
              <w:t>”</w:t>
            </w:r>
            <w:r>
              <w:rPr>
                <w:rFonts w:ascii="Times New Roman" w:hAnsi="Times New Roman"/>
                <w:color w:val="000000"/>
                <w:sz w:val="22"/>
              </w:rPr>
              <w:t>政德专题教育活动，约</w:t>
            </w:r>
            <w:r>
              <w:rPr>
                <w:rFonts w:ascii="Times New Roman" w:hAnsi="Times New Roman"/>
                <w:color w:val="000000"/>
                <w:sz w:val="22"/>
              </w:rPr>
              <w:t>60</w:t>
            </w:r>
            <w:r>
              <w:rPr>
                <w:rFonts w:ascii="Times New Roman" w:hAnsi="Times New Roman"/>
                <w:color w:val="000000"/>
                <w:sz w:val="22"/>
              </w:rPr>
              <w:t>名新</w:t>
            </w:r>
            <w:proofErr w:type="gramStart"/>
            <w:r>
              <w:rPr>
                <w:rFonts w:ascii="Times New Roman" w:hAnsi="Times New Roman"/>
                <w:color w:val="000000"/>
                <w:sz w:val="22"/>
              </w:rPr>
              <w:t>提拔科职</w:t>
            </w:r>
            <w:proofErr w:type="gramEnd"/>
            <w:r>
              <w:rPr>
                <w:rFonts w:ascii="Times New Roman" w:hAnsi="Times New Roman"/>
                <w:color w:val="000000"/>
                <w:sz w:val="22"/>
              </w:rPr>
              <w:t>（级）干部参加。</w:t>
            </w:r>
            <w:r>
              <w:rPr>
                <w:rFonts w:ascii="Times New Roman" w:hAnsi="Times New Roman"/>
                <w:color w:val="000000"/>
                <w:sz w:val="22"/>
              </w:rPr>
              <w:t>5.2024</w:t>
            </w:r>
            <w:r>
              <w:rPr>
                <w:rFonts w:ascii="Times New Roman" w:hAnsi="Times New Roman"/>
                <w:color w:val="000000"/>
                <w:sz w:val="22"/>
              </w:rPr>
              <w:t>年</w:t>
            </w:r>
            <w:r>
              <w:rPr>
                <w:rFonts w:ascii="Times New Roman" w:hAnsi="Times New Roman"/>
                <w:color w:val="000000"/>
                <w:sz w:val="22"/>
              </w:rPr>
              <w:t>3</w:t>
            </w:r>
            <w:r>
              <w:rPr>
                <w:rFonts w:ascii="Times New Roman" w:hAnsi="Times New Roman"/>
                <w:color w:val="000000"/>
                <w:sz w:val="22"/>
              </w:rPr>
              <w:t>月</w:t>
            </w:r>
            <w:r>
              <w:rPr>
                <w:rFonts w:ascii="Times New Roman" w:hAnsi="Times New Roman"/>
                <w:color w:val="000000"/>
                <w:sz w:val="22"/>
              </w:rPr>
              <w:t>9</w:t>
            </w:r>
            <w:r>
              <w:rPr>
                <w:rFonts w:ascii="Times New Roman" w:hAnsi="Times New Roman"/>
                <w:color w:val="000000"/>
                <w:sz w:val="22"/>
              </w:rPr>
              <w:t>日，联合市体育局、市妇联、市总工会开展</w:t>
            </w:r>
            <w:r w:rsidR="005F7B74">
              <w:rPr>
                <w:rFonts w:ascii="Times New Roman" w:hAnsi="Times New Roman" w:hint="eastAsia"/>
                <w:color w:val="000000"/>
                <w:kern w:val="0"/>
                <w:sz w:val="20"/>
                <w:szCs w:val="20"/>
              </w:rPr>
              <w:t>“</w:t>
            </w:r>
            <w:r>
              <w:rPr>
                <w:rFonts w:ascii="Times New Roman" w:hAnsi="Times New Roman"/>
                <w:color w:val="000000"/>
                <w:sz w:val="22"/>
              </w:rPr>
              <w:t>时代新征程</w:t>
            </w:r>
            <w:r>
              <w:rPr>
                <w:rFonts w:ascii="Times New Roman" w:hAnsi="Times New Roman"/>
                <w:color w:val="000000"/>
                <w:sz w:val="22"/>
              </w:rPr>
              <w:t xml:space="preserve"> </w:t>
            </w:r>
            <w:r>
              <w:rPr>
                <w:rFonts w:ascii="Times New Roman" w:hAnsi="Times New Roman"/>
                <w:color w:val="000000"/>
                <w:sz w:val="22"/>
              </w:rPr>
              <w:t>巾帼放光彩</w:t>
            </w:r>
            <w:r w:rsidR="00BB5789">
              <w:rPr>
                <w:rFonts w:ascii="Times New Roman" w:hAnsi="Times New Roman" w:hint="eastAsia"/>
                <w:color w:val="000000"/>
                <w:sz w:val="22"/>
              </w:rPr>
              <w:t>”</w:t>
            </w:r>
            <w:r>
              <w:rPr>
                <w:rFonts w:ascii="Times New Roman" w:hAnsi="Times New Roman"/>
                <w:color w:val="000000"/>
                <w:sz w:val="22"/>
              </w:rPr>
              <w:t>2024</w:t>
            </w:r>
            <w:r>
              <w:rPr>
                <w:rFonts w:ascii="Times New Roman" w:hAnsi="Times New Roman"/>
                <w:color w:val="000000"/>
                <w:sz w:val="22"/>
              </w:rPr>
              <w:t>年丽人健康行活动，组织</w:t>
            </w:r>
            <w:r>
              <w:rPr>
                <w:rFonts w:ascii="Times New Roman" w:hAnsi="Times New Roman"/>
                <w:color w:val="000000"/>
                <w:sz w:val="22"/>
              </w:rPr>
              <w:t>100</w:t>
            </w:r>
            <w:r>
              <w:rPr>
                <w:rFonts w:ascii="Times New Roman" w:hAnsi="Times New Roman"/>
                <w:color w:val="000000"/>
                <w:sz w:val="22"/>
              </w:rPr>
              <w:t>余名市级机关妇女干部参加，统一租车前往吴江区东太湖生态园。</w:t>
            </w:r>
          </w:p>
        </w:tc>
      </w:tr>
      <w:tr w:rsidR="00903061" w:rsidTr="00BB5789">
        <w:trPr>
          <w:trHeight w:val="5767"/>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lastRenderedPageBreak/>
              <w:t>项目管理成效</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市委刘小涛书记专门批示</w:t>
            </w:r>
            <w:r w:rsidR="008C4FE8">
              <w:rPr>
                <w:rFonts w:ascii="Times New Roman" w:hAnsi="Times New Roman" w:hint="eastAsia"/>
                <w:color w:val="000000"/>
                <w:kern w:val="0"/>
                <w:sz w:val="20"/>
                <w:szCs w:val="20"/>
              </w:rPr>
              <w:t>“</w:t>
            </w:r>
            <w:r>
              <w:rPr>
                <w:rFonts w:ascii="Times New Roman" w:hAnsi="Times New Roman"/>
                <w:color w:val="000000"/>
                <w:sz w:val="22"/>
              </w:rPr>
              <w:t>感谢省直机关工委对苏州的关心、支持。深入基层、服务企业的作风值得学习</w:t>
            </w:r>
            <w:r w:rsidR="008C4FE8">
              <w:rPr>
                <w:rFonts w:ascii="Times New Roman" w:hAnsi="Times New Roman" w:hint="eastAsia"/>
                <w:color w:val="000000"/>
                <w:sz w:val="22"/>
              </w:rPr>
              <w:t>”</w:t>
            </w:r>
            <w:r>
              <w:rPr>
                <w:rFonts w:ascii="Times New Roman" w:hAnsi="Times New Roman"/>
                <w:color w:val="000000"/>
                <w:sz w:val="22"/>
              </w:rPr>
              <w:t>。市委王飏秘书长</w:t>
            </w:r>
            <w:proofErr w:type="gramStart"/>
            <w:r>
              <w:rPr>
                <w:rFonts w:ascii="Times New Roman" w:hAnsi="Times New Roman"/>
                <w:color w:val="000000"/>
                <w:sz w:val="22"/>
              </w:rPr>
              <w:t>作出</w:t>
            </w:r>
            <w:proofErr w:type="gramEnd"/>
            <w:r>
              <w:rPr>
                <w:rFonts w:ascii="Times New Roman" w:hAnsi="Times New Roman"/>
                <w:color w:val="000000"/>
                <w:sz w:val="22"/>
              </w:rPr>
              <w:t>批示</w:t>
            </w:r>
            <w:r w:rsidR="008C4FE8">
              <w:rPr>
                <w:rFonts w:ascii="Times New Roman" w:hAnsi="Times New Roman" w:hint="eastAsia"/>
                <w:color w:val="000000"/>
                <w:kern w:val="0"/>
                <w:sz w:val="20"/>
                <w:szCs w:val="20"/>
              </w:rPr>
              <w:t>“</w:t>
            </w:r>
            <w:r>
              <w:rPr>
                <w:rFonts w:ascii="Times New Roman" w:hAnsi="Times New Roman"/>
                <w:color w:val="000000"/>
                <w:sz w:val="22"/>
              </w:rPr>
              <w:t>工委后续要继续沟通，做好服务</w:t>
            </w:r>
            <w:r w:rsidR="008C4FE8">
              <w:rPr>
                <w:rFonts w:ascii="Times New Roman" w:hAnsi="Times New Roman" w:hint="eastAsia"/>
                <w:color w:val="000000"/>
                <w:sz w:val="22"/>
              </w:rPr>
              <w:t>”</w:t>
            </w:r>
            <w:r>
              <w:rPr>
                <w:rFonts w:ascii="Times New Roman" w:hAnsi="Times New Roman"/>
                <w:color w:val="000000"/>
                <w:sz w:val="22"/>
              </w:rPr>
              <w:t>。工委第一时间建立</w:t>
            </w:r>
            <w:r w:rsidR="008C4FE8">
              <w:rPr>
                <w:rFonts w:ascii="Times New Roman" w:hAnsi="Times New Roman" w:hint="eastAsia"/>
                <w:color w:val="000000"/>
                <w:kern w:val="0"/>
                <w:sz w:val="20"/>
                <w:szCs w:val="20"/>
              </w:rPr>
              <w:t>“</w:t>
            </w:r>
            <w:r>
              <w:rPr>
                <w:rFonts w:ascii="Times New Roman" w:hAnsi="Times New Roman"/>
                <w:color w:val="000000"/>
                <w:sz w:val="22"/>
              </w:rPr>
              <w:t>开展一轮蹲点调研、进行一次政策辅导、办好一件惠企实事、组织一次专题学习、共过一次组织生活</w:t>
            </w:r>
            <w:r w:rsidR="008C4FE8">
              <w:rPr>
                <w:rFonts w:ascii="Times New Roman" w:hAnsi="Times New Roman" w:hint="eastAsia"/>
                <w:color w:val="000000"/>
                <w:sz w:val="22"/>
              </w:rPr>
              <w:t>”</w:t>
            </w:r>
            <w:r>
              <w:rPr>
                <w:rFonts w:ascii="Times New Roman" w:hAnsi="Times New Roman"/>
                <w:color w:val="000000"/>
                <w:sz w:val="22"/>
              </w:rPr>
              <w:t>的</w:t>
            </w:r>
            <w:r w:rsidR="008C4FE8">
              <w:rPr>
                <w:rFonts w:ascii="Times New Roman" w:hAnsi="Times New Roman" w:hint="eastAsia"/>
                <w:color w:val="000000"/>
                <w:kern w:val="0"/>
                <w:sz w:val="20"/>
                <w:szCs w:val="20"/>
              </w:rPr>
              <w:t>“</w:t>
            </w:r>
            <w:r>
              <w:rPr>
                <w:rFonts w:ascii="Times New Roman" w:hAnsi="Times New Roman"/>
                <w:color w:val="000000"/>
                <w:sz w:val="22"/>
              </w:rPr>
              <w:t>五个一</w:t>
            </w:r>
            <w:r w:rsidR="008C4FE8">
              <w:rPr>
                <w:rFonts w:ascii="Times New Roman" w:hAnsi="Times New Roman" w:hint="eastAsia"/>
                <w:color w:val="000000"/>
                <w:sz w:val="22"/>
              </w:rPr>
              <w:t>”</w:t>
            </w:r>
            <w:r>
              <w:rPr>
                <w:rFonts w:ascii="Times New Roman" w:hAnsi="Times New Roman"/>
                <w:color w:val="000000"/>
                <w:sz w:val="22"/>
              </w:rPr>
              <w:t>结对工作举措，同步建立了双月调度工作机制，目前已先后</w:t>
            </w:r>
            <w:r>
              <w:rPr>
                <w:rFonts w:ascii="Times New Roman" w:hAnsi="Times New Roman"/>
                <w:color w:val="000000"/>
                <w:sz w:val="22"/>
              </w:rPr>
              <w:t>3</w:t>
            </w:r>
            <w:r>
              <w:rPr>
                <w:rFonts w:ascii="Times New Roman" w:hAnsi="Times New Roman"/>
                <w:color w:val="000000"/>
                <w:sz w:val="22"/>
              </w:rPr>
              <w:t>次调度跟进结对项目进展，并积极做好相关沟通协调服务工作。截至</w:t>
            </w:r>
            <w:r>
              <w:rPr>
                <w:rFonts w:ascii="Times New Roman" w:hAnsi="Times New Roman"/>
                <w:color w:val="000000"/>
                <w:sz w:val="22"/>
              </w:rPr>
              <w:t>2024</w:t>
            </w:r>
            <w:r>
              <w:rPr>
                <w:rFonts w:ascii="Times New Roman" w:hAnsi="Times New Roman"/>
                <w:color w:val="000000"/>
                <w:sz w:val="22"/>
              </w:rPr>
              <w:t>年</w:t>
            </w:r>
            <w:r>
              <w:rPr>
                <w:rFonts w:ascii="Times New Roman" w:hAnsi="Times New Roman"/>
                <w:color w:val="000000"/>
                <w:sz w:val="22"/>
              </w:rPr>
              <w:t>12</w:t>
            </w:r>
            <w:r>
              <w:rPr>
                <w:rFonts w:ascii="Times New Roman" w:hAnsi="Times New Roman"/>
                <w:color w:val="000000"/>
                <w:sz w:val="22"/>
              </w:rPr>
              <w:t>月底，签约结对的</w:t>
            </w:r>
            <w:r>
              <w:rPr>
                <w:rFonts w:ascii="Times New Roman" w:hAnsi="Times New Roman"/>
                <w:color w:val="000000"/>
                <w:sz w:val="22"/>
              </w:rPr>
              <w:t>34</w:t>
            </w:r>
            <w:r>
              <w:rPr>
                <w:rFonts w:ascii="Times New Roman" w:hAnsi="Times New Roman"/>
                <w:color w:val="000000"/>
                <w:sz w:val="22"/>
              </w:rPr>
              <w:t>个产业链党建项目，已完成</w:t>
            </w:r>
            <w:r>
              <w:rPr>
                <w:rFonts w:ascii="Times New Roman" w:hAnsi="Times New Roman"/>
                <w:color w:val="000000"/>
                <w:sz w:val="22"/>
              </w:rPr>
              <w:t>25</w:t>
            </w:r>
            <w:r>
              <w:rPr>
                <w:rFonts w:ascii="Times New Roman" w:hAnsi="Times New Roman"/>
                <w:color w:val="000000"/>
                <w:sz w:val="22"/>
              </w:rPr>
              <w:t>个，正在持续跟进的</w:t>
            </w:r>
            <w:r>
              <w:rPr>
                <w:rFonts w:ascii="Times New Roman" w:hAnsi="Times New Roman"/>
                <w:color w:val="000000"/>
                <w:sz w:val="22"/>
              </w:rPr>
              <w:t>9</w:t>
            </w:r>
            <w:r>
              <w:rPr>
                <w:rFonts w:ascii="Times New Roman" w:hAnsi="Times New Roman"/>
                <w:color w:val="000000"/>
                <w:sz w:val="22"/>
              </w:rPr>
              <w:t>个。</w:t>
            </w:r>
            <w:r>
              <w:rPr>
                <w:rFonts w:ascii="Times New Roman" w:hAnsi="Times New Roman"/>
                <w:color w:val="000000"/>
                <w:sz w:val="22"/>
              </w:rPr>
              <w:t>2.</w:t>
            </w:r>
            <w:r>
              <w:rPr>
                <w:rFonts w:ascii="Times New Roman" w:hAnsi="Times New Roman"/>
                <w:color w:val="000000"/>
                <w:sz w:val="22"/>
              </w:rPr>
              <w:t>大院大所党建联盟活动为</w:t>
            </w:r>
            <w:r>
              <w:rPr>
                <w:rFonts w:ascii="Times New Roman" w:hAnsi="Times New Roman"/>
                <w:color w:val="000000"/>
                <w:sz w:val="22"/>
              </w:rPr>
              <w:t>10</w:t>
            </w:r>
            <w:r>
              <w:rPr>
                <w:rFonts w:ascii="Times New Roman" w:hAnsi="Times New Roman"/>
                <w:color w:val="000000"/>
                <w:sz w:val="22"/>
              </w:rPr>
              <w:t>家新加</w:t>
            </w:r>
            <w:r>
              <w:rPr>
                <w:rFonts w:ascii="Times New Roman" w:hAnsi="Times New Roman"/>
                <w:color w:val="000000"/>
                <w:sz w:val="22"/>
              </w:rPr>
              <w:t>入大院大所党建联盟的单位授牌，组织</w:t>
            </w:r>
            <w:r>
              <w:rPr>
                <w:rFonts w:ascii="Times New Roman" w:hAnsi="Times New Roman"/>
                <w:color w:val="000000"/>
                <w:sz w:val="22"/>
              </w:rPr>
              <w:t>6</w:t>
            </w:r>
            <w:r>
              <w:rPr>
                <w:rFonts w:ascii="Times New Roman" w:hAnsi="Times New Roman"/>
                <w:color w:val="000000"/>
                <w:sz w:val="22"/>
              </w:rPr>
              <w:t>对科研院所和龙头企业签约合作，组建</w:t>
            </w:r>
            <w:r w:rsidR="008C4FE8">
              <w:rPr>
                <w:rFonts w:ascii="Times New Roman" w:hAnsi="Times New Roman" w:hint="eastAsia"/>
                <w:color w:val="000000"/>
                <w:kern w:val="0"/>
                <w:sz w:val="20"/>
                <w:szCs w:val="20"/>
              </w:rPr>
              <w:t>“</w:t>
            </w:r>
            <w:r>
              <w:rPr>
                <w:rFonts w:ascii="Times New Roman" w:hAnsi="Times New Roman"/>
                <w:color w:val="000000"/>
                <w:sz w:val="22"/>
              </w:rPr>
              <w:t>新质生产力服务团</w:t>
            </w:r>
            <w:r w:rsidR="008C4FE8">
              <w:rPr>
                <w:rFonts w:ascii="Times New Roman" w:hAnsi="Times New Roman" w:hint="eastAsia"/>
                <w:color w:val="000000"/>
                <w:sz w:val="22"/>
              </w:rPr>
              <w:t>”</w:t>
            </w:r>
            <w:r>
              <w:rPr>
                <w:rFonts w:ascii="Times New Roman" w:hAnsi="Times New Roman"/>
                <w:color w:val="000000"/>
                <w:sz w:val="22"/>
              </w:rPr>
              <w:t>，发布</w:t>
            </w:r>
            <w:r w:rsidR="008C4FE8">
              <w:rPr>
                <w:rFonts w:ascii="Times New Roman" w:hAnsi="Times New Roman" w:hint="eastAsia"/>
                <w:color w:val="000000"/>
                <w:kern w:val="0"/>
                <w:sz w:val="20"/>
                <w:szCs w:val="20"/>
              </w:rPr>
              <w:t>“</w:t>
            </w:r>
            <w:r>
              <w:rPr>
                <w:rFonts w:ascii="Times New Roman" w:hAnsi="Times New Roman"/>
                <w:color w:val="000000"/>
                <w:sz w:val="22"/>
              </w:rPr>
              <w:t>服务企业</w:t>
            </w:r>
            <w:r>
              <w:rPr>
                <w:rFonts w:ascii="Times New Roman" w:hAnsi="Times New Roman"/>
                <w:color w:val="000000"/>
                <w:sz w:val="22"/>
              </w:rPr>
              <w:t xml:space="preserve"> </w:t>
            </w:r>
            <w:r>
              <w:rPr>
                <w:rFonts w:ascii="Times New Roman" w:hAnsi="Times New Roman"/>
                <w:color w:val="000000"/>
                <w:sz w:val="22"/>
              </w:rPr>
              <w:t>赋能产业</w:t>
            </w:r>
            <w:r w:rsidR="008C4FE8">
              <w:rPr>
                <w:rFonts w:ascii="Times New Roman" w:hAnsi="Times New Roman" w:hint="eastAsia"/>
                <w:color w:val="000000"/>
                <w:sz w:val="22"/>
              </w:rPr>
              <w:t>”</w:t>
            </w:r>
            <w:r>
              <w:rPr>
                <w:rFonts w:ascii="Times New Roman" w:hAnsi="Times New Roman"/>
                <w:color w:val="000000"/>
                <w:sz w:val="22"/>
              </w:rPr>
              <w:t>倡议书，推介苏州创新创业环境。</w:t>
            </w:r>
            <w:r>
              <w:rPr>
                <w:rFonts w:ascii="Times New Roman" w:hAnsi="Times New Roman"/>
                <w:color w:val="000000"/>
                <w:sz w:val="22"/>
              </w:rPr>
              <w:t>3.</w:t>
            </w:r>
            <w:r>
              <w:rPr>
                <w:rFonts w:ascii="Times New Roman" w:hAnsi="Times New Roman"/>
                <w:color w:val="000000"/>
                <w:sz w:val="22"/>
              </w:rPr>
              <w:t>根据姑苏区党群阵地需求，资助补充雨伞、轮椅、血压仪、应急药品等</w:t>
            </w:r>
            <w:r>
              <w:rPr>
                <w:rFonts w:ascii="Times New Roman" w:hAnsi="Times New Roman"/>
                <w:color w:val="000000"/>
                <w:sz w:val="22"/>
              </w:rPr>
              <w:t>12</w:t>
            </w:r>
            <w:r>
              <w:rPr>
                <w:rFonts w:ascii="Times New Roman" w:hAnsi="Times New Roman"/>
                <w:color w:val="000000"/>
                <w:sz w:val="22"/>
              </w:rPr>
              <w:t>类阵地服务物资，姑苏辖区内</w:t>
            </w:r>
            <w:r>
              <w:rPr>
                <w:rFonts w:ascii="Times New Roman" w:hAnsi="Times New Roman"/>
                <w:color w:val="000000"/>
                <w:sz w:val="22"/>
              </w:rPr>
              <w:t>51</w:t>
            </w:r>
            <w:r>
              <w:rPr>
                <w:rFonts w:ascii="Times New Roman" w:hAnsi="Times New Roman"/>
                <w:color w:val="000000"/>
                <w:sz w:val="22"/>
              </w:rPr>
              <w:t>党群阵地实现向社会开放共享，免费提供各类服务，每天开放时长超</w:t>
            </w:r>
            <w:r>
              <w:rPr>
                <w:rFonts w:ascii="Times New Roman" w:hAnsi="Times New Roman"/>
                <w:color w:val="000000"/>
                <w:sz w:val="22"/>
              </w:rPr>
              <w:t>1000</w:t>
            </w:r>
            <w:r>
              <w:rPr>
                <w:rFonts w:ascii="Times New Roman" w:hAnsi="Times New Roman"/>
                <w:color w:val="000000"/>
                <w:sz w:val="22"/>
              </w:rPr>
              <w:t>小时，日均服务群众近</w:t>
            </w:r>
            <w:r>
              <w:rPr>
                <w:rFonts w:ascii="Times New Roman" w:hAnsi="Times New Roman"/>
                <w:color w:val="000000"/>
                <w:sz w:val="22"/>
              </w:rPr>
              <w:t>5000</w:t>
            </w:r>
            <w:r>
              <w:rPr>
                <w:rFonts w:ascii="Times New Roman" w:hAnsi="Times New Roman"/>
                <w:color w:val="000000"/>
                <w:sz w:val="22"/>
              </w:rPr>
              <w:t>人次，相关工作成效在《党的生活》《新华日报》《苏州日报》刊发报道。</w:t>
            </w:r>
            <w:r>
              <w:rPr>
                <w:rFonts w:ascii="Times New Roman" w:hAnsi="Times New Roman"/>
                <w:color w:val="000000"/>
                <w:sz w:val="22"/>
              </w:rPr>
              <w:t>4.</w:t>
            </w:r>
            <w:r>
              <w:rPr>
                <w:rFonts w:ascii="Times New Roman" w:hAnsi="Times New Roman"/>
                <w:color w:val="000000"/>
                <w:sz w:val="22"/>
              </w:rPr>
              <w:t>《案例汇编》以身边事教育身边人，相关做法在《新华日报》头版报道；庭审旁听作为党纪学习教育警示教育的</w:t>
            </w:r>
            <w:r>
              <w:rPr>
                <w:rFonts w:ascii="Times New Roman" w:hAnsi="Times New Roman"/>
                <w:color w:val="000000"/>
                <w:sz w:val="22"/>
              </w:rPr>
              <w:t>重要内容推进；《实务手册》作为学习资料发放，推动机关纪委规范履职；政德专题教育活动获得市纪委主要领导充分肯定。</w:t>
            </w:r>
            <w:r>
              <w:rPr>
                <w:rFonts w:ascii="Times New Roman" w:hAnsi="Times New Roman"/>
                <w:color w:val="000000"/>
                <w:sz w:val="22"/>
              </w:rPr>
              <w:t>5.</w:t>
            </w:r>
            <w:r>
              <w:rPr>
                <w:rFonts w:ascii="Times New Roman" w:hAnsi="Times New Roman"/>
                <w:color w:val="000000"/>
                <w:sz w:val="22"/>
              </w:rPr>
              <w:t>丽人健康行活动让参加活动的市级机关妇女干部们在紧张的工作之余，放松身心、锻炼体魄，丰富了广大女干部职工的文化生活。</w:t>
            </w:r>
          </w:p>
        </w:tc>
      </w:tr>
      <w:tr w:rsidR="00903061" w:rsidTr="00BB5789">
        <w:trPr>
          <w:trHeight w:val="4153"/>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项目管理存在的问题及原因</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rsidP="00AC180B">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大院大所党建联建活动项目，部分内容发生变更，用于省级机关</w:t>
            </w:r>
            <w:r w:rsidR="009B159F">
              <w:rPr>
                <w:rFonts w:ascii="Times New Roman" w:hAnsi="Times New Roman" w:hint="eastAsia"/>
                <w:color w:val="000000"/>
                <w:kern w:val="0"/>
                <w:sz w:val="20"/>
                <w:szCs w:val="20"/>
              </w:rPr>
              <w:t>“</w:t>
            </w:r>
            <w:r>
              <w:rPr>
                <w:rFonts w:ascii="Times New Roman" w:hAnsi="Times New Roman"/>
                <w:color w:val="000000"/>
                <w:sz w:val="22"/>
              </w:rPr>
              <w:t>服务高质量发展先锋行动队</w:t>
            </w:r>
            <w:r w:rsidR="009B159F">
              <w:rPr>
                <w:rFonts w:ascii="Times New Roman" w:hAnsi="Times New Roman" w:hint="eastAsia"/>
                <w:color w:val="000000"/>
                <w:sz w:val="22"/>
              </w:rPr>
              <w:t>”</w:t>
            </w:r>
            <w:r>
              <w:rPr>
                <w:rFonts w:ascii="Times New Roman" w:hAnsi="Times New Roman"/>
                <w:color w:val="000000"/>
                <w:sz w:val="22"/>
              </w:rPr>
              <w:t>惠企为民苏州行活动。根据当年度实际重点工作变更进行了项目经费调整。党建业务融合发展预算编制还需更加科学合理筹划，相关活动项目需要更加精确细化。</w:t>
            </w:r>
            <w:r>
              <w:rPr>
                <w:rFonts w:ascii="Times New Roman" w:hAnsi="Times New Roman"/>
                <w:color w:val="000000"/>
                <w:sz w:val="22"/>
              </w:rPr>
              <w:t>2.</w:t>
            </w:r>
            <w:r>
              <w:rPr>
                <w:rFonts w:ascii="Times New Roman" w:hAnsi="Times New Roman"/>
                <w:color w:val="000000"/>
                <w:sz w:val="22"/>
              </w:rPr>
              <w:t>党建和业务融合的方式还需进一步深化，对产业链党建工作还需探索更多有效形式，深入企业基层调研需求，找准服务优化营商环境的痛点难点，整合市级机关党建资源，以更广泛有效的形式推进党建和业务融合发展。</w:t>
            </w:r>
            <w:r>
              <w:rPr>
                <w:rFonts w:ascii="Times New Roman" w:hAnsi="Times New Roman"/>
                <w:color w:val="000000"/>
                <w:sz w:val="22"/>
              </w:rPr>
              <w:t>3.</w:t>
            </w:r>
            <w:r>
              <w:rPr>
                <w:rFonts w:ascii="Times New Roman" w:hAnsi="Times New Roman"/>
                <w:color w:val="000000"/>
                <w:sz w:val="22"/>
              </w:rPr>
              <w:t>部分机关单位提供的资源与社区需要的资源之间存在不同程度的错位、不匹配现象，主要是结</w:t>
            </w:r>
            <w:r>
              <w:rPr>
                <w:rFonts w:ascii="Times New Roman" w:hAnsi="Times New Roman"/>
                <w:color w:val="000000"/>
                <w:sz w:val="22"/>
              </w:rPr>
              <w:t>合自身业务开展相关服务，难以协调解决一些社区或居民提出的问题苦难。</w:t>
            </w:r>
            <w:r>
              <w:rPr>
                <w:rFonts w:ascii="Times New Roman" w:hAnsi="Times New Roman"/>
                <w:color w:val="000000"/>
                <w:sz w:val="22"/>
              </w:rPr>
              <w:t>4.2024</w:t>
            </w:r>
            <w:r>
              <w:rPr>
                <w:rFonts w:ascii="Times New Roman" w:hAnsi="Times New Roman"/>
                <w:color w:val="000000"/>
                <w:sz w:val="22"/>
              </w:rPr>
              <w:t>年全党开展党纪学习教育，工作任务临时调整增加，《案例汇编》印刷册数预估不够精准，导致加印</w:t>
            </w:r>
            <w:r>
              <w:rPr>
                <w:rFonts w:ascii="Times New Roman" w:hAnsi="Times New Roman"/>
                <w:color w:val="000000"/>
                <w:sz w:val="22"/>
              </w:rPr>
              <w:t>100</w:t>
            </w:r>
            <w:r>
              <w:rPr>
                <w:rFonts w:ascii="Times New Roman" w:hAnsi="Times New Roman"/>
                <w:color w:val="000000"/>
                <w:sz w:val="22"/>
              </w:rPr>
              <w:t>本的费用（</w:t>
            </w:r>
            <w:r>
              <w:rPr>
                <w:rFonts w:ascii="Times New Roman" w:hAnsi="Times New Roman"/>
                <w:color w:val="000000"/>
                <w:sz w:val="22"/>
              </w:rPr>
              <w:t>3600</w:t>
            </w:r>
            <w:r>
              <w:rPr>
                <w:rFonts w:ascii="Times New Roman" w:hAnsi="Times New Roman"/>
                <w:color w:val="000000"/>
                <w:sz w:val="22"/>
              </w:rPr>
              <w:t>元）以及印刷《实务手册》</w:t>
            </w:r>
            <w:r>
              <w:rPr>
                <w:rFonts w:ascii="Times New Roman" w:hAnsi="Times New Roman"/>
                <w:color w:val="000000"/>
                <w:sz w:val="22"/>
              </w:rPr>
              <w:t>270</w:t>
            </w:r>
            <w:r>
              <w:rPr>
                <w:rFonts w:ascii="Times New Roman" w:hAnsi="Times New Roman"/>
                <w:color w:val="000000"/>
                <w:sz w:val="22"/>
              </w:rPr>
              <w:t>本的费用（</w:t>
            </w:r>
            <w:r>
              <w:rPr>
                <w:rFonts w:ascii="Times New Roman" w:hAnsi="Times New Roman"/>
                <w:color w:val="000000"/>
                <w:sz w:val="22"/>
              </w:rPr>
              <w:t>4050</w:t>
            </w:r>
            <w:r>
              <w:rPr>
                <w:rFonts w:ascii="Times New Roman" w:hAnsi="Times New Roman"/>
                <w:color w:val="000000"/>
                <w:sz w:val="22"/>
              </w:rPr>
              <w:t>元）未纳入年度预算，费用</w:t>
            </w:r>
            <w:r>
              <w:rPr>
                <w:rFonts w:ascii="Times New Roman" w:hAnsi="Times New Roman"/>
                <w:color w:val="000000"/>
                <w:sz w:val="22"/>
              </w:rPr>
              <w:t>申请调剂使用。</w:t>
            </w:r>
            <w:r>
              <w:rPr>
                <w:rFonts w:ascii="Times New Roman" w:hAnsi="Times New Roman"/>
                <w:color w:val="000000"/>
                <w:sz w:val="22"/>
              </w:rPr>
              <w:t>5.</w:t>
            </w:r>
            <w:r>
              <w:rPr>
                <w:rFonts w:ascii="Times New Roman" w:hAnsi="Times New Roman"/>
                <w:color w:val="000000"/>
                <w:sz w:val="22"/>
              </w:rPr>
              <w:t>丽人健康行活动因组织</w:t>
            </w:r>
            <w:proofErr w:type="gramStart"/>
            <w:r>
              <w:rPr>
                <w:rFonts w:ascii="Times New Roman" w:hAnsi="Times New Roman"/>
                <w:color w:val="000000"/>
                <w:sz w:val="22"/>
              </w:rPr>
              <w:t>方分配</w:t>
            </w:r>
            <w:proofErr w:type="gramEnd"/>
            <w:r>
              <w:rPr>
                <w:rFonts w:ascii="Times New Roman" w:hAnsi="Times New Roman"/>
                <w:color w:val="000000"/>
                <w:sz w:val="22"/>
              </w:rPr>
              <w:t>市级机关活动报名人数超过往年数量，车辆租用费超出预算金额。</w:t>
            </w:r>
          </w:p>
        </w:tc>
      </w:tr>
      <w:tr w:rsidR="00903061" w:rsidTr="00BB5789">
        <w:trPr>
          <w:trHeight w:val="3184"/>
        </w:trPr>
        <w:tc>
          <w:tcPr>
            <w:tcW w:w="1424" w:type="dxa"/>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rsidR="00903061" w:rsidRDefault="00AC180B">
            <w:pPr>
              <w:jc w:val="center"/>
              <w:rPr>
                <w:rFonts w:ascii="Times New Roman" w:hAnsi="Times New Roman"/>
                <w:color w:val="000000"/>
                <w:sz w:val="22"/>
              </w:rPr>
            </w:pPr>
            <w:r>
              <w:rPr>
                <w:rFonts w:ascii="Times New Roman" w:hAnsi="Times New Roman"/>
                <w:color w:val="000000"/>
                <w:sz w:val="22"/>
              </w:rPr>
              <w:t>进一步加强</w:t>
            </w:r>
            <w:bookmarkStart w:id="0" w:name="_GoBack"/>
            <w:bookmarkEnd w:id="0"/>
            <w:r>
              <w:rPr>
                <w:rFonts w:ascii="Times New Roman" w:hAnsi="Times New Roman"/>
                <w:color w:val="000000"/>
                <w:sz w:val="22"/>
              </w:rPr>
              <w:t>项目管理的建议</w:t>
            </w:r>
          </w:p>
        </w:tc>
        <w:tc>
          <w:tcPr>
            <w:tcW w:w="7669" w:type="dxa"/>
            <w:gridSpan w:val="7"/>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rsidR="00903061" w:rsidRDefault="00AC180B">
            <w:pPr>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继续探索推进机关党建服务高质量发展的契合点。根据各基层党组织承担的年度重大任务，围绕市委确定的进一步全面深化改革的总体要求、目标任务，聚焦市委十三届九次全会暨市委经济工作会议明确的</w:t>
            </w:r>
            <w:r>
              <w:rPr>
                <w:rFonts w:ascii="Times New Roman" w:hAnsi="Times New Roman"/>
                <w:color w:val="000000"/>
                <w:sz w:val="22"/>
              </w:rPr>
              <w:t>9</w:t>
            </w:r>
            <w:r>
              <w:rPr>
                <w:rFonts w:ascii="Times New Roman" w:hAnsi="Times New Roman"/>
                <w:color w:val="000000"/>
                <w:sz w:val="22"/>
              </w:rPr>
              <w:t>个方面具体工作，落实</w:t>
            </w:r>
            <w:r w:rsidR="00FA02E7">
              <w:rPr>
                <w:rFonts w:ascii="Times New Roman" w:hAnsi="Times New Roman" w:hint="eastAsia"/>
                <w:color w:val="000000"/>
                <w:kern w:val="0"/>
                <w:sz w:val="20"/>
                <w:szCs w:val="20"/>
              </w:rPr>
              <w:t>“</w:t>
            </w:r>
            <w:proofErr w:type="gramStart"/>
            <w:r>
              <w:rPr>
                <w:rFonts w:ascii="Times New Roman" w:hAnsi="Times New Roman"/>
                <w:color w:val="000000"/>
                <w:sz w:val="22"/>
              </w:rPr>
              <w:t>一</w:t>
            </w:r>
            <w:proofErr w:type="gramEnd"/>
            <w:r>
              <w:rPr>
                <w:rFonts w:ascii="Times New Roman" w:hAnsi="Times New Roman"/>
                <w:color w:val="000000"/>
                <w:sz w:val="22"/>
              </w:rPr>
              <w:t>统领三稳三新三保</w:t>
            </w:r>
            <w:r w:rsidR="00FA02E7">
              <w:rPr>
                <w:rFonts w:ascii="Times New Roman" w:hAnsi="Times New Roman" w:hint="eastAsia"/>
                <w:color w:val="000000"/>
                <w:sz w:val="22"/>
              </w:rPr>
              <w:t>”</w:t>
            </w:r>
            <w:r>
              <w:rPr>
                <w:rFonts w:ascii="Times New Roman" w:hAnsi="Times New Roman"/>
                <w:color w:val="000000"/>
                <w:sz w:val="22"/>
              </w:rPr>
              <w:t>，推动各单位做好各年度重点项目，作为推动党建业务融合的重点任务。</w:t>
            </w:r>
            <w:r>
              <w:rPr>
                <w:rFonts w:ascii="Times New Roman" w:hAnsi="Times New Roman"/>
                <w:color w:val="000000"/>
                <w:sz w:val="22"/>
              </w:rPr>
              <w:t>2.</w:t>
            </w:r>
            <w:r>
              <w:rPr>
                <w:rFonts w:ascii="Times New Roman" w:hAnsi="Times New Roman"/>
                <w:color w:val="000000"/>
                <w:sz w:val="22"/>
              </w:rPr>
              <w:t>坚持以项目化推进，结合姑苏区社区特点，</w:t>
            </w:r>
            <w:r w:rsidR="00FA02E7">
              <w:rPr>
                <w:rFonts w:ascii="Times New Roman" w:hAnsi="Times New Roman" w:hint="eastAsia"/>
                <w:color w:val="000000"/>
                <w:kern w:val="0"/>
                <w:sz w:val="20"/>
                <w:szCs w:val="20"/>
              </w:rPr>
              <w:t>“</w:t>
            </w:r>
            <w:r>
              <w:rPr>
                <w:rFonts w:ascii="Times New Roman" w:hAnsi="Times New Roman"/>
                <w:color w:val="000000"/>
                <w:sz w:val="22"/>
              </w:rPr>
              <w:t>盘活</w:t>
            </w:r>
            <w:r w:rsidR="00FA02E7">
              <w:rPr>
                <w:rFonts w:ascii="Times New Roman" w:hAnsi="Times New Roman" w:hint="eastAsia"/>
                <w:color w:val="000000"/>
                <w:sz w:val="22"/>
              </w:rPr>
              <w:t>”</w:t>
            </w:r>
            <w:r>
              <w:rPr>
                <w:rFonts w:ascii="Times New Roman" w:hAnsi="Times New Roman"/>
                <w:color w:val="000000"/>
                <w:sz w:val="22"/>
              </w:rPr>
              <w:t>驻区机关单位资源，机关党组织每年与街道、社区党组织共同研究确定、并领办</w:t>
            </w:r>
            <w:r w:rsidR="00FA02E7">
              <w:rPr>
                <w:rFonts w:ascii="Times New Roman" w:hAnsi="Times New Roman" w:hint="eastAsia"/>
                <w:color w:val="000000"/>
                <w:kern w:val="0"/>
                <w:sz w:val="20"/>
                <w:szCs w:val="20"/>
              </w:rPr>
              <w:t>“</w:t>
            </w:r>
            <w:r>
              <w:rPr>
                <w:rFonts w:ascii="Times New Roman" w:hAnsi="Times New Roman"/>
                <w:color w:val="000000"/>
                <w:sz w:val="22"/>
              </w:rPr>
              <w:t>我为群众办实事</w:t>
            </w:r>
            <w:r w:rsidR="00FA02E7">
              <w:rPr>
                <w:rFonts w:ascii="Times New Roman" w:hAnsi="Times New Roman" w:hint="eastAsia"/>
                <w:color w:val="000000"/>
                <w:sz w:val="22"/>
              </w:rPr>
              <w:t>”</w:t>
            </w:r>
            <w:r>
              <w:rPr>
                <w:rFonts w:ascii="Times New Roman" w:hAnsi="Times New Roman"/>
                <w:color w:val="000000"/>
                <w:sz w:val="22"/>
              </w:rPr>
              <w:t>项目，工委根据社区特点或急需解决的问题困难，统筹协调，以服务分队形式共同解决资源错</w:t>
            </w:r>
            <w:r>
              <w:rPr>
                <w:rFonts w:ascii="Times New Roman" w:hAnsi="Times New Roman"/>
                <w:color w:val="000000"/>
                <w:sz w:val="22"/>
              </w:rPr>
              <w:t>位问题，从而更好服务群众。</w:t>
            </w:r>
            <w:r>
              <w:rPr>
                <w:rFonts w:ascii="Times New Roman" w:hAnsi="Times New Roman"/>
                <w:color w:val="000000"/>
                <w:sz w:val="22"/>
              </w:rPr>
              <w:t>3.</w:t>
            </w:r>
            <w:r>
              <w:rPr>
                <w:rFonts w:ascii="Times New Roman" w:hAnsi="Times New Roman"/>
                <w:color w:val="000000"/>
                <w:sz w:val="22"/>
              </w:rPr>
              <w:t>进一步细化项目支出，更加精准编制项目预算，降低预决算偏差。</w:t>
            </w:r>
          </w:p>
        </w:tc>
      </w:tr>
      <w:tr w:rsidR="00903061" w:rsidTr="00BB5789">
        <w:trPr>
          <w:hidden/>
        </w:trPr>
        <w:tc>
          <w:tcPr>
            <w:tcW w:w="1424"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963"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c>
          <w:tcPr>
            <w:tcW w:w="1906" w:type="dxa"/>
            <w:tcBorders>
              <w:top w:val="nil"/>
              <w:left w:val="nil"/>
              <w:bottom w:val="nil"/>
              <w:right w:val="nil"/>
            </w:tcBorders>
            <w:shd w:val="clear" w:color="auto" w:fill="auto"/>
            <w:noWrap/>
            <w:tcMar>
              <w:top w:w="15" w:type="dxa"/>
              <w:left w:w="15" w:type="dxa"/>
              <w:bottom w:w="0" w:type="dxa"/>
              <w:right w:w="15" w:type="dxa"/>
            </w:tcMar>
            <w:vAlign w:val="bottom"/>
          </w:tcPr>
          <w:p w:rsidR="00903061" w:rsidRDefault="00903061">
            <w:pPr>
              <w:rPr>
                <w:rFonts w:ascii="Arial" w:hAnsi="Arial" w:cs="Arial"/>
                <w:vanish/>
                <w:sz w:val="20"/>
                <w:szCs w:val="20"/>
              </w:rPr>
            </w:pPr>
          </w:p>
        </w:tc>
      </w:tr>
    </w:tbl>
    <w:p w:rsidR="00903061" w:rsidRDefault="00903061"/>
    <w:sectPr w:rsidR="00903061" w:rsidSect="009030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384" w:rsidRDefault="00105384" w:rsidP="00105384">
      <w:r>
        <w:separator/>
      </w:r>
    </w:p>
  </w:endnote>
  <w:endnote w:type="continuationSeparator" w:id="1">
    <w:p w:rsidR="00105384" w:rsidRDefault="00105384" w:rsidP="00105384">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384" w:rsidRDefault="00105384" w:rsidP="00105384">
      <w:r>
        <w:separator/>
      </w:r>
    </w:p>
  </w:footnote>
  <w:footnote w:type="continuationSeparator" w:id="1">
    <w:p w:rsidR="00105384" w:rsidRDefault="00105384" w:rsidP="001053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7DAE"/>
    <w:rsid w:val="000227CC"/>
    <w:rsid w:val="00027583"/>
    <w:rsid w:val="0005797A"/>
    <w:rsid w:val="000A753F"/>
    <w:rsid w:val="000D6913"/>
    <w:rsid w:val="00105384"/>
    <w:rsid w:val="00135BA0"/>
    <w:rsid w:val="00146D27"/>
    <w:rsid w:val="00154572"/>
    <w:rsid w:val="001650C6"/>
    <w:rsid w:val="001865A9"/>
    <w:rsid w:val="001A45C6"/>
    <w:rsid w:val="00210D2C"/>
    <w:rsid w:val="0027417E"/>
    <w:rsid w:val="00277E96"/>
    <w:rsid w:val="00295EA9"/>
    <w:rsid w:val="002D23D3"/>
    <w:rsid w:val="002F132B"/>
    <w:rsid w:val="00320B72"/>
    <w:rsid w:val="003309F6"/>
    <w:rsid w:val="003311D3"/>
    <w:rsid w:val="00371193"/>
    <w:rsid w:val="003D5254"/>
    <w:rsid w:val="00421DBC"/>
    <w:rsid w:val="00422096"/>
    <w:rsid w:val="00444045"/>
    <w:rsid w:val="00465368"/>
    <w:rsid w:val="00477DDF"/>
    <w:rsid w:val="004D061C"/>
    <w:rsid w:val="00507C7E"/>
    <w:rsid w:val="005365FF"/>
    <w:rsid w:val="005530C8"/>
    <w:rsid w:val="005A4855"/>
    <w:rsid w:val="005B3C15"/>
    <w:rsid w:val="005F7B74"/>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8C4FE8"/>
    <w:rsid w:val="00903061"/>
    <w:rsid w:val="0099571D"/>
    <w:rsid w:val="009B159F"/>
    <w:rsid w:val="009B2F6A"/>
    <w:rsid w:val="009D2066"/>
    <w:rsid w:val="009D57D9"/>
    <w:rsid w:val="00A566D2"/>
    <w:rsid w:val="00A63BDD"/>
    <w:rsid w:val="00A8579E"/>
    <w:rsid w:val="00A919F2"/>
    <w:rsid w:val="00A970CD"/>
    <w:rsid w:val="00AB1312"/>
    <w:rsid w:val="00AB15D9"/>
    <w:rsid w:val="00AC180B"/>
    <w:rsid w:val="00AE42C0"/>
    <w:rsid w:val="00B10E19"/>
    <w:rsid w:val="00B15E35"/>
    <w:rsid w:val="00B6380C"/>
    <w:rsid w:val="00B869C7"/>
    <w:rsid w:val="00B948BC"/>
    <w:rsid w:val="00BB5789"/>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A02E7"/>
    <w:rsid w:val="00FD578E"/>
    <w:rsid w:val="4A75497F"/>
    <w:rsid w:val="5AE70A1F"/>
    <w:rsid w:val="6FE02802"/>
    <w:rsid w:val="70126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061"/>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90306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30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30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903061"/>
    <w:rPr>
      <w:sz w:val="18"/>
      <w:szCs w:val="18"/>
    </w:rPr>
  </w:style>
  <w:style w:type="character" w:customStyle="1" w:styleId="Char">
    <w:name w:val="页脚 Char"/>
    <w:basedOn w:val="a0"/>
    <w:link w:val="a3"/>
    <w:uiPriority w:val="99"/>
    <w:qFormat/>
    <w:rsid w:val="00903061"/>
    <w:rPr>
      <w:sz w:val="18"/>
      <w:szCs w:val="18"/>
    </w:rPr>
  </w:style>
  <w:style w:type="character" w:customStyle="1" w:styleId="4Char">
    <w:name w:val="闻政标题4 Char"/>
    <w:link w:val="4"/>
    <w:qFormat/>
    <w:locked/>
    <w:rsid w:val="00903061"/>
    <w:rPr>
      <w:rFonts w:ascii="仿宋_GB2312" w:eastAsia="仿宋_GB2312"/>
      <w:b/>
      <w:bCs/>
      <w:sz w:val="28"/>
      <w:szCs w:val="32"/>
    </w:rPr>
  </w:style>
  <w:style w:type="paragraph" w:customStyle="1" w:styleId="4">
    <w:name w:val="闻政标题4"/>
    <w:basedOn w:val="2"/>
    <w:link w:val="4Char"/>
    <w:qFormat/>
    <w:rsid w:val="00903061"/>
    <w:pPr>
      <w:spacing w:before="120" w:after="60" w:line="500" w:lineRule="exact"/>
      <w:ind w:firstLineChars="200" w:firstLine="200"/>
      <w:jc w:val="left"/>
    </w:pPr>
    <w:rPr>
      <w:rFonts w:ascii="仿宋_GB2312" w:eastAsia="仿宋_GB2312" w:hAnsiTheme="minorHAnsi" w:cstheme="minorBidi"/>
      <w:sz w:val="28"/>
    </w:rPr>
  </w:style>
  <w:style w:type="character" w:customStyle="1" w:styleId="2Char">
    <w:name w:val="标题 2 Char"/>
    <w:basedOn w:val="a0"/>
    <w:link w:val="2"/>
    <w:uiPriority w:val="9"/>
    <w:semiHidden/>
    <w:qFormat/>
    <w:rsid w:val="0090306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4CD2-223D-4D7D-8C2A-274082B9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788</Words>
  <Characters>4496</Characters>
  <Application>Microsoft Office Word</Application>
  <DocSecurity>0</DocSecurity>
  <Lines>37</Lines>
  <Paragraphs>10</Paragraphs>
  <ScaleCrop>false</ScaleCrop>
  <Company>P R C</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 王</dc:creator>
  <cp:lastModifiedBy>Windows User</cp:lastModifiedBy>
  <cp:revision>61</cp:revision>
  <dcterms:created xsi:type="dcterms:W3CDTF">2022-01-12T10:53:00Z</dcterms:created>
  <dcterms:modified xsi:type="dcterms:W3CDTF">2025-10-09T02:53:00Z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eyJoZGlkIjoiOTY2MDQ4ZmQ3ZjNmNmYyNjY2NjI3MTg1NDlmYmFhZjYiLCJ1c2VySWQiOiI2MjczMzY3NDIifQ==</vt:lpwstr>
  </property>
  <property fmtid="{D5CDD505-2E9C-101B-9397-08002B2CF9AE}" pid="3" name="KSOProductBuildVer">
    <vt:lpwstr>2052-12.1.0.22529</vt:lpwstr>
  </property>
  <property fmtid="{D5CDD505-2E9C-101B-9397-08002B2CF9AE}" pid="4" name="ICV">
    <vt:lpwstr>9F669C4FED13413589140FF1E65A5D7A_12</vt:lpwstr>
  </property>
</Properties>
</file>